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4414"/>
        <w:gridCol w:w="4414"/>
      </w:tblGrid>
      <w:tr w:rsidR="003A76D3" w:rsidRPr="00A66C2E" w14:paraId="362757DC" w14:textId="77777777" w:rsidTr="003A76D3">
        <w:tc>
          <w:tcPr>
            <w:tcW w:w="4414" w:type="dxa"/>
          </w:tcPr>
          <w:p w14:paraId="5DAEE6CC" w14:textId="219E9A67" w:rsidR="003A76D3" w:rsidRPr="00A66C2E" w:rsidRDefault="00A66C2E">
            <w:pPr>
              <w:rPr>
                <w:rFonts w:eastAsia="DengXian"/>
                <w:lang w:val="es-AR"/>
              </w:rPr>
            </w:pPr>
            <w:r>
              <w:rPr>
                <w:rFonts w:eastAsia="DengXian" w:hint="eastAsia"/>
                <w:lang w:val="zh-CN" w:bidi="zh-CN"/>
              </w:rPr>
              <w:t>E</w:t>
            </w:r>
            <w:r>
              <w:rPr>
                <w:rFonts w:eastAsia="DengXian"/>
                <w:lang w:val="es-AR" w:bidi="zh-CN"/>
              </w:rPr>
              <w:t>NGLISH</w:t>
            </w:r>
          </w:p>
        </w:tc>
        <w:tc>
          <w:tcPr>
            <w:tcW w:w="4414" w:type="dxa"/>
          </w:tcPr>
          <w:p w14:paraId="19D9087D" w14:textId="1442DF12" w:rsidR="003A76D3" w:rsidRPr="00A66C2E" w:rsidRDefault="00A66C2E">
            <w:pPr>
              <w:rPr>
                <w:lang w:val="es-AR"/>
              </w:rPr>
            </w:pPr>
            <w:r>
              <w:rPr>
                <w:rFonts w:hint="eastAsia"/>
                <w:lang w:val="zh-CN" w:bidi="zh-CN"/>
              </w:rPr>
              <w:t>C</w:t>
            </w:r>
            <w:r>
              <w:rPr>
                <w:lang w:val="es-AR" w:bidi="zh-CN"/>
              </w:rPr>
              <w:t>HINESE</w:t>
            </w:r>
          </w:p>
        </w:tc>
      </w:tr>
      <w:tr w:rsidR="00AC530C" w:rsidRPr="00A66C2E" w14:paraId="0CCC58AC" w14:textId="77777777" w:rsidTr="003A76D3">
        <w:tc>
          <w:tcPr>
            <w:tcW w:w="4414" w:type="dxa"/>
          </w:tcPr>
          <w:p w14:paraId="21BD2BE4" w14:textId="77777777" w:rsidR="00AC530C" w:rsidRPr="00A66C2E" w:rsidRDefault="00AC530C" w:rsidP="00AC530C">
            <w:pPr>
              <w:rPr>
                <w:b/>
                <w:bCs/>
              </w:rPr>
            </w:pPr>
            <w:r w:rsidRPr="00A66C2E">
              <w:rPr>
                <w:b/>
                <w:bCs/>
              </w:rPr>
              <w:t>Street Vending Amnesty Program</w:t>
            </w:r>
          </w:p>
          <w:p w14:paraId="1E627275" w14:textId="223EBA81" w:rsidR="00AC530C" w:rsidRPr="00A66C2E" w:rsidRDefault="00AC530C" w:rsidP="00AC530C">
            <w:pPr>
              <w:rPr>
                <w:lang w:val="en-US"/>
              </w:rPr>
            </w:pPr>
          </w:p>
        </w:tc>
        <w:tc>
          <w:tcPr>
            <w:tcW w:w="4414" w:type="dxa"/>
          </w:tcPr>
          <w:p w14:paraId="6E7AA440" w14:textId="77777777" w:rsidR="00AC530C" w:rsidRPr="00A66C2E" w:rsidRDefault="00AC530C" w:rsidP="00AC530C">
            <w:pPr>
              <w:rPr>
                <w:b/>
                <w:bCs/>
              </w:rPr>
            </w:pPr>
            <w:r w:rsidRPr="00A66C2E">
              <w:rPr>
                <w:b/>
                <w:lang w:val="zh-CN" w:bidi="zh-CN"/>
              </w:rPr>
              <w:t>街头贩卖特赦计划</w:t>
            </w:r>
          </w:p>
          <w:p w14:paraId="41CDBCAF" w14:textId="2CDFD6C3" w:rsidR="00AC530C" w:rsidRPr="00A66C2E" w:rsidRDefault="00AC530C" w:rsidP="00AC530C">
            <w:pPr>
              <w:rPr>
                <w:lang w:val="en-US"/>
              </w:rPr>
            </w:pPr>
          </w:p>
        </w:tc>
      </w:tr>
      <w:tr w:rsidR="00AC530C" w:rsidRPr="00A66C2E" w14:paraId="343FB66C" w14:textId="77777777" w:rsidTr="003A76D3">
        <w:tc>
          <w:tcPr>
            <w:tcW w:w="4414" w:type="dxa"/>
          </w:tcPr>
          <w:p w14:paraId="20C39430" w14:textId="77777777" w:rsidR="00AC530C" w:rsidRPr="00A66C2E" w:rsidRDefault="00AC530C" w:rsidP="00AC530C">
            <w:pPr>
              <w:rPr>
                <w:b/>
                <w:bCs/>
              </w:rPr>
            </w:pPr>
            <w:r w:rsidRPr="00A66C2E">
              <w:rPr>
                <w:b/>
                <w:bCs/>
              </w:rPr>
              <w:t>Street Vending Amnesty Program</w:t>
            </w:r>
          </w:p>
          <w:p w14:paraId="167282D2" w14:textId="2F9E6BDB" w:rsidR="00AC530C" w:rsidRPr="00A66C2E" w:rsidRDefault="00AC530C" w:rsidP="00AC530C">
            <w:pPr>
              <w:rPr>
                <w:lang w:val="en-US"/>
              </w:rPr>
            </w:pPr>
          </w:p>
        </w:tc>
        <w:tc>
          <w:tcPr>
            <w:tcW w:w="4414" w:type="dxa"/>
          </w:tcPr>
          <w:p w14:paraId="71FC25D4" w14:textId="77777777" w:rsidR="00AC530C" w:rsidRPr="00A66C2E" w:rsidRDefault="00AC530C" w:rsidP="00AC530C">
            <w:pPr>
              <w:rPr>
                <w:b/>
                <w:bCs/>
              </w:rPr>
            </w:pPr>
            <w:r w:rsidRPr="00A66C2E">
              <w:rPr>
                <w:b/>
                <w:lang w:val="zh-CN" w:bidi="zh-CN"/>
              </w:rPr>
              <w:t>街头贩卖特赦计划</w:t>
            </w:r>
          </w:p>
          <w:p w14:paraId="42117EF1" w14:textId="5B859B29" w:rsidR="00AC530C" w:rsidRPr="00A66C2E" w:rsidRDefault="00AC530C" w:rsidP="00AC530C">
            <w:pPr>
              <w:rPr>
                <w:lang w:val="en-US"/>
              </w:rPr>
            </w:pPr>
          </w:p>
        </w:tc>
      </w:tr>
      <w:tr w:rsidR="00AC530C" w:rsidRPr="00A66C2E" w14:paraId="3E14EBB2" w14:textId="77777777" w:rsidTr="003A76D3">
        <w:tc>
          <w:tcPr>
            <w:tcW w:w="4414" w:type="dxa"/>
          </w:tcPr>
          <w:p w14:paraId="0B462308" w14:textId="409CABAA" w:rsidR="00AC530C" w:rsidRPr="00A66C2E" w:rsidRDefault="00AC530C" w:rsidP="00AC530C">
            <w:pPr>
              <w:rPr>
                <w:lang w:val="en-US"/>
              </w:rPr>
            </w:pPr>
            <w:r w:rsidRPr="00A66C2E">
              <w:rPr>
                <w:lang w:val="en-US" w:eastAsia="en-US" w:bidi="en-US"/>
              </w:rPr>
              <w:t>Starting October 1, 2023, DLCP will administer the Street Vending Amnesty Program (the “Amnesty Program”) pursuant to D.C. Act 25-94. The Amnesty Program will be available to applicants for 5 years. The purpose of the Amnesty Program is to allow street vendors with certain debt to qualify to obtain a Vending License. Additionally, a street vendor who qualifies for the Amnesty Program will also be eligible to have this unpaid debt forgiven.</w:t>
            </w:r>
          </w:p>
        </w:tc>
        <w:tc>
          <w:tcPr>
            <w:tcW w:w="4414" w:type="dxa"/>
          </w:tcPr>
          <w:p w14:paraId="1CBA9C8F" w14:textId="71443C82" w:rsidR="00AC530C" w:rsidRPr="00A66C2E" w:rsidRDefault="00AC530C" w:rsidP="00AC530C">
            <w:pPr>
              <w:rPr>
                <w:lang w:val="en-US"/>
              </w:rPr>
            </w:pPr>
            <w:r w:rsidRPr="00A66C2E">
              <w:rPr>
                <w:lang w:val="zh-CN" w:bidi="zh-CN"/>
              </w:rPr>
              <w:t>自</w:t>
            </w:r>
            <w:r w:rsidRPr="00A66C2E">
              <w:rPr>
                <w:lang w:val="zh-CN" w:bidi="zh-CN"/>
              </w:rPr>
              <w:t xml:space="preserve"> 2023 </w:t>
            </w:r>
            <w:r w:rsidRPr="00A66C2E">
              <w:rPr>
                <w:lang w:val="zh-CN" w:bidi="zh-CN"/>
              </w:rPr>
              <w:t>年</w:t>
            </w:r>
            <w:r w:rsidRPr="00A66C2E">
              <w:rPr>
                <w:lang w:val="zh-CN" w:bidi="zh-CN"/>
              </w:rPr>
              <w:t xml:space="preserve"> 10 </w:t>
            </w:r>
            <w:r w:rsidRPr="00A66C2E">
              <w:rPr>
                <w:lang w:val="zh-CN" w:bidi="zh-CN"/>
              </w:rPr>
              <w:t>月</w:t>
            </w:r>
            <w:r w:rsidRPr="00A66C2E">
              <w:rPr>
                <w:lang w:val="zh-CN" w:bidi="zh-CN"/>
              </w:rPr>
              <w:t xml:space="preserve"> 1 </w:t>
            </w:r>
            <w:r w:rsidRPr="00A66C2E">
              <w:rPr>
                <w:lang w:val="zh-CN" w:bidi="zh-CN"/>
              </w:rPr>
              <w:t>日起，哥伦比亚特区执照及消费者保护部（</w:t>
            </w:r>
            <w:r w:rsidRPr="00A66C2E">
              <w:rPr>
                <w:lang w:val="zh-CN" w:bidi="zh-CN"/>
              </w:rPr>
              <w:t>DLCP</w:t>
            </w:r>
            <w:r w:rsidRPr="00A66C2E">
              <w:rPr>
                <w:lang w:val="zh-CN" w:bidi="zh-CN"/>
              </w:rPr>
              <w:t>）将根据哥伦比亚特区第</w:t>
            </w:r>
            <w:r w:rsidRPr="00A66C2E">
              <w:rPr>
                <w:lang w:val="zh-CN" w:bidi="zh-CN"/>
              </w:rPr>
              <w:t xml:space="preserve"> 25-94 </w:t>
            </w:r>
            <w:r w:rsidRPr="00A66C2E">
              <w:rPr>
                <w:lang w:val="zh-CN" w:bidi="zh-CN"/>
              </w:rPr>
              <w:t>号法案执行街头贩卖特赦计划（以下简称</w:t>
            </w:r>
            <w:r w:rsidRPr="00A66C2E">
              <w:rPr>
                <w:lang w:val="zh-CN" w:bidi="zh-CN"/>
              </w:rPr>
              <w:t>“</w:t>
            </w:r>
            <w:r w:rsidRPr="00A66C2E">
              <w:rPr>
                <w:lang w:val="zh-CN" w:bidi="zh-CN"/>
              </w:rPr>
              <w:t>特赦计划</w:t>
            </w:r>
            <w:r w:rsidRPr="00A66C2E">
              <w:rPr>
                <w:lang w:val="zh-CN" w:bidi="zh-CN"/>
              </w:rPr>
              <w:t>”</w:t>
            </w:r>
            <w:r w:rsidRPr="00A66C2E">
              <w:rPr>
                <w:lang w:val="zh-CN" w:bidi="zh-CN"/>
              </w:rPr>
              <w:t>）。该特赦计划将为申请人提供大赦，有效期</w:t>
            </w:r>
            <w:r w:rsidRPr="00A66C2E">
              <w:rPr>
                <w:lang w:val="zh-CN" w:bidi="zh-CN"/>
              </w:rPr>
              <w:t xml:space="preserve"> 5 </w:t>
            </w:r>
            <w:r w:rsidRPr="00A66C2E">
              <w:rPr>
                <w:lang w:val="zh-CN" w:bidi="zh-CN"/>
              </w:rPr>
              <w:t>年。该特赦计划的目的旨在允许存在特定债务的街头摊贩有资格获得贩卖执照。此外，符合特赦计划条件的街头摊贩还有资格获得对未付债务的宽免。</w:t>
            </w:r>
          </w:p>
        </w:tc>
      </w:tr>
      <w:tr w:rsidR="00AC530C" w:rsidRPr="00A66C2E" w14:paraId="6E57F8A5" w14:textId="77777777" w:rsidTr="003A76D3">
        <w:tc>
          <w:tcPr>
            <w:tcW w:w="4414" w:type="dxa"/>
          </w:tcPr>
          <w:p w14:paraId="43A2EC06" w14:textId="063633CF" w:rsidR="00AC530C" w:rsidRPr="00A66C2E" w:rsidRDefault="00AC530C" w:rsidP="00AC530C">
            <w:pPr>
              <w:rPr>
                <w:lang w:val="en-US"/>
              </w:rPr>
            </w:pPr>
            <w:r w:rsidRPr="00A66C2E">
              <w:rPr>
                <w:lang w:val="en-US" w:eastAsia="en-US" w:bidi="en-US"/>
              </w:rPr>
              <w:t>A street vendor may qualify for this program only if they have debt incurred between January 1, 2010 and September 30, 2023 for the following:</w:t>
            </w:r>
          </w:p>
        </w:tc>
        <w:tc>
          <w:tcPr>
            <w:tcW w:w="4414" w:type="dxa"/>
          </w:tcPr>
          <w:p w14:paraId="5C456C48" w14:textId="61D2493A" w:rsidR="00AC530C" w:rsidRPr="00A66C2E" w:rsidRDefault="00AC530C" w:rsidP="00AC530C">
            <w:pPr>
              <w:rPr>
                <w:lang w:val="en-US"/>
              </w:rPr>
            </w:pPr>
            <w:r w:rsidRPr="00A66C2E">
              <w:rPr>
                <w:lang w:val="zh-CN" w:bidi="zh-CN"/>
              </w:rPr>
              <w:t>只有在</w:t>
            </w:r>
            <w:r w:rsidRPr="00A66C2E">
              <w:rPr>
                <w:lang w:val="zh-CN" w:bidi="zh-CN"/>
              </w:rPr>
              <w:t xml:space="preserve"> 2010 </w:t>
            </w:r>
            <w:r w:rsidRPr="00A66C2E">
              <w:rPr>
                <w:lang w:val="zh-CN" w:bidi="zh-CN"/>
              </w:rPr>
              <w:t>年</w:t>
            </w:r>
            <w:r w:rsidRPr="00A66C2E">
              <w:rPr>
                <w:lang w:val="zh-CN" w:bidi="zh-CN"/>
              </w:rPr>
              <w:t xml:space="preserve"> 1 </w:t>
            </w:r>
            <w:r w:rsidRPr="00A66C2E">
              <w:rPr>
                <w:lang w:val="zh-CN" w:bidi="zh-CN"/>
              </w:rPr>
              <w:t>月</w:t>
            </w:r>
            <w:r w:rsidRPr="00A66C2E">
              <w:rPr>
                <w:lang w:val="zh-CN" w:bidi="zh-CN"/>
              </w:rPr>
              <w:t xml:space="preserve"> 1 </w:t>
            </w:r>
            <w:r w:rsidRPr="00A66C2E">
              <w:rPr>
                <w:lang w:val="zh-CN" w:bidi="zh-CN"/>
              </w:rPr>
              <w:t>日至</w:t>
            </w:r>
            <w:r w:rsidRPr="00A66C2E">
              <w:rPr>
                <w:lang w:val="zh-CN" w:bidi="zh-CN"/>
              </w:rPr>
              <w:t xml:space="preserve"> 2023 </w:t>
            </w:r>
            <w:r w:rsidRPr="00A66C2E">
              <w:rPr>
                <w:lang w:val="zh-CN" w:bidi="zh-CN"/>
              </w:rPr>
              <w:t>年</w:t>
            </w:r>
            <w:r w:rsidRPr="00A66C2E">
              <w:rPr>
                <w:lang w:val="zh-CN" w:bidi="zh-CN"/>
              </w:rPr>
              <w:t xml:space="preserve"> 9 </w:t>
            </w:r>
            <w:r w:rsidRPr="00A66C2E">
              <w:rPr>
                <w:lang w:val="zh-CN" w:bidi="zh-CN"/>
              </w:rPr>
              <w:t>月</w:t>
            </w:r>
            <w:r w:rsidRPr="00A66C2E">
              <w:rPr>
                <w:lang w:val="zh-CN" w:bidi="zh-CN"/>
              </w:rPr>
              <w:t xml:space="preserve"> 30 </w:t>
            </w:r>
            <w:r w:rsidRPr="00A66C2E">
              <w:rPr>
                <w:lang w:val="zh-CN" w:bidi="zh-CN"/>
              </w:rPr>
              <w:t>日期间产生以下债务的街头摊贩才有资格申请该计划：</w:t>
            </w:r>
          </w:p>
        </w:tc>
      </w:tr>
      <w:tr w:rsidR="00AC530C" w:rsidRPr="00A66C2E" w14:paraId="7526C629" w14:textId="77777777" w:rsidTr="003A76D3">
        <w:tc>
          <w:tcPr>
            <w:tcW w:w="4414" w:type="dxa"/>
          </w:tcPr>
          <w:p w14:paraId="4873DBE6" w14:textId="77777777" w:rsidR="00AC530C" w:rsidRPr="00A66C2E" w:rsidRDefault="00AC530C" w:rsidP="00AC530C">
            <w:pPr>
              <w:spacing w:after="160" w:line="259" w:lineRule="auto"/>
              <w:rPr>
                <w:lang w:val="en-US"/>
              </w:rPr>
            </w:pPr>
            <w:r w:rsidRPr="00A66C2E">
              <w:rPr>
                <w:lang w:val="en-US" w:eastAsia="en-US" w:bidi="en-US"/>
              </w:rPr>
              <w:t>Vending violation fines issued by DLCP [or its predecessor the Department of Consumer and Regulatory Affairs (“DCRA”)], and/or</w:t>
            </w:r>
          </w:p>
          <w:p w14:paraId="3FEAC0C3" w14:textId="1FC7D4C8" w:rsidR="00AC530C" w:rsidRPr="00A66C2E" w:rsidRDefault="00AC530C" w:rsidP="00AC530C">
            <w:pPr>
              <w:spacing w:after="160" w:line="259" w:lineRule="auto"/>
              <w:rPr>
                <w:lang w:val="en-US"/>
              </w:rPr>
            </w:pPr>
            <w:r w:rsidRPr="00A66C2E">
              <w:rPr>
                <w:lang w:val="en-US" w:eastAsia="en-US" w:bidi="en-US"/>
              </w:rPr>
              <w:t>Minimum sales tax payments issued by the Office of Tax and Revenue (OTR) pursuant to D.C. Official Code  § 47-2002.01.</w:t>
            </w:r>
          </w:p>
        </w:tc>
        <w:tc>
          <w:tcPr>
            <w:tcW w:w="4414" w:type="dxa"/>
          </w:tcPr>
          <w:p w14:paraId="5B50159A" w14:textId="77777777" w:rsidR="00AC530C" w:rsidRPr="00A66C2E" w:rsidRDefault="00AC530C" w:rsidP="00AC530C">
            <w:pPr>
              <w:spacing w:after="160" w:line="259" w:lineRule="auto"/>
              <w:rPr>
                <w:lang w:val="en-US"/>
              </w:rPr>
            </w:pPr>
            <w:r w:rsidRPr="00A66C2E">
              <w:rPr>
                <w:lang w:val="zh-CN" w:bidi="zh-CN"/>
              </w:rPr>
              <w:t>由</w:t>
            </w:r>
            <w:r w:rsidRPr="00A66C2E">
              <w:rPr>
                <w:lang w:val="zh-CN" w:bidi="zh-CN"/>
              </w:rPr>
              <w:t xml:space="preserve"> DLCP [</w:t>
            </w:r>
            <w:r w:rsidRPr="00A66C2E">
              <w:rPr>
                <w:lang w:val="zh-CN" w:bidi="zh-CN"/>
              </w:rPr>
              <w:t>或其前身</w:t>
            </w:r>
            <w:r w:rsidRPr="00A66C2E">
              <w:rPr>
                <w:lang w:val="zh-CN" w:bidi="zh-CN"/>
              </w:rPr>
              <w:t>——</w:t>
            </w:r>
            <w:r w:rsidRPr="00A66C2E">
              <w:rPr>
                <w:lang w:val="zh-CN" w:bidi="zh-CN"/>
              </w:rPr>
              <w:t>消费者及监管事务部</w:t>
            </w:r>
            <w:r w:rsidRPr="00A66C2E">
              <w:rPr>
                <w:lang w:val="zh-CN" w:bidi="zh-CN"/>
              </w:rPr>
              <w:t xml:space="preserve"> (“DCRA”)] </w:t>
            </w:r>
            <w:r w:rsidRPr="00A66C2E">
              <w:rPr>
                <w:lang w:val="zh-CN" w:bidi="zh-CN"/>
              </w:rPr>
              <w:t>发出的违规贩卖罚款，以及</w:t>
            </w:r>
            <w:r w:rsidRPr="00A66C2E">
              <w:rPr>
                <w:lang w:val="zh-CN" w:bidi="zh-CN"/>
              </w:rPr>
              <w:t>/</w:t>
            </w:r>
            <w:r w:rsidRPr="00A66C2E">
              <w:rPr>
                <w:lang w:val="zh-CN" w:bidi="zh-CN"/>
              </w:rPr>
              <w:t>或者</w:t>
            </w:r>
          </w:p>
          <w:p w14:paraId="2BF1C531" w14:textId="2A59A57D" w:rsidR="00AC530C" w:rsidRPr="00A66C2E" w:rsidRDefault="00AC530C" w:rsidP="00AC530C">
            <w:pPr>
              <w:rPr>
                <w:lang w:val="en-US"/>
              </w:rPr>
            </w:pPr>
            <w:r w:rsidRPr="00A66C2E">
              <w:rPr>
                <w:lang w:val="zh-CN" w:bidi="zh-CN"/>
              </w:rPr>
              <w:t>由税务及税收办公室（</w:t>
            </w:r>
            <w:r w:rsidRPr="00A66C2E">
              <w:rPr>
                <w:lang w:val="zh-CN" w:bidi="zh-CN"/>
              </w:rPr>
              <w:t>OTR</w:t>
            </w:r>
            <w:r w:rsidRPr="00A66C2E">
              <w:rPr>
                <w:lang w:val="zh-CN" w:bidi="zh-CN"/>
              </w:rPr>
              <w:t>）根据《哥伦比亚特区官方法典》</w:t>
            </w:r>
            <w:r w:rsidRPr="00A66C2E">
              <w:rPr>
                <w:lang w:val="zh-CN" w:bidi="zh-CN"/>
              </w:rPr>
              <w:t xml:space="preserve">(D.C.Official Code) </w:t>
            </w:r>
            <w:r w:rsidRPr="00A66C2E">
              <w:rPr>
                <w:lang w:val="zh-CN" w:bidi="zh-CN"/>
              </w:rPr>
              <w:t>第</w:t>
            </w:r>
            <w:r w:rsidRPr="00A66C2E">
              <w:rPr>
                <w:lang w:val="zh-CN" w:bidi="zh-CN"/>
              </w:rPr>
              <w:t xml:space="preserve"> 47 </w:t>
            </w:r>
            <w:r w:rsidRPr="00A66C2E">
              <w:rPr>
                <w:lang w:val="zh-CN" w:bidi="zh-CN"/>
              </w:rPr>
              <w:t>篇第</w:t>
            </w:r>
            <w:r w:rsidRPr="00A66C2E">
              <w:rPr>
                <w:lang w:val="zh-CN" w:bidi="zh-CN"/>
              </w:rPr>
              <w:t xml:space="preserve"> 2002.01 </w:t>
            </w:r>
            <w:r w:rsidRPr="00A66C2E">
              <w:rPr>
                <w:lang w:val="zh-CN" w:bidi="zh-CN"/>
              </w:rPr>
              <w:t>节发出的最低销售税付款。</w:t>
            </w:r>
          </w:p>
        </w:tc>
      </w:tr>
      <w:tr w:rsidR="00AC530C" w:rsidRPr="00A66C2E" w14:paraId="2030C248" w14:textId="77777777" w:rsidTr="003A76D3">
        <w:tc>
          <w:tcPr>
            <w:tcW w:w="4414" w:type="dxa"/>
          </w:tcPr>
          <w:p w14:paraId="6B8CF92B" w14:textId="63B0A24C" w:rsidR="00AC530C" w:rsidRPr="00A66C2E" w:rsidRDefault="00AC530C" w:rsidP="00AC530C">
            <w:pPr>
              <w:rPr>
                <w:lang w:val="en-US"/>
              </w:rPr>
            </w:pPr>
            <w:r w:rsidRPr="00A66C2E">
              <w:rPr>
                <w:lang w:val="en-US" w:eastAsia="en-US" w:bidi="en-US"/>
              </w:rPr>
              <w:t>If there is any other debt owed, other than the debt specified above, then the street vendor will not qualify for the Amnesty Program. A street vendor must resolve any other debt owed before they can qualify for the Amnesty Program.</w:t>
            </w:r>
          </w:p>
        </w:tc>
        <w:tc>
          <w:tcPr>
            <w:tcW w:w="4414" w:type="dxa"/>
          </w:tcPr>
          <w:p w14:paraId="1A3FE494" w14:textId="4C2E7F81" w:rsidR="00AC530C" w:rsidRPr="00A66C2E" w:rsidRDefault="00AC530C" w:rsidP="00AC530C">
            <w:pPr>
              <w:rPr>
                <w:lang w:val="en-US"/>
              </w:rPr>
            </w:pPr>
            <w:r w:rsidRPr="00A66C2E">
              <w:rPr>
                <w:lang w:val="zh-CN" w:bidi="zh-CN"/>
              </w:rPr>
              <w:t>除上述特定债务之外，如果有其他债务未还，则街头摊贩将无资格申请特赦计划。街头摊贩必须先清偿任何其他未还债务，才有资格参加特赦计划。</w:t>
            </w:r>
          </w:p>
        </w:tc>
      </w:tr>
      <w:tr w:rsidR="00AC530C" w:rsidRPr="00A66C2E" w14:paraId="0CB1B919" w14:textId="77777777" w:rsidTr="003A76D3">
        <w:tc>
          <w:tcPr>
            <w:tcW w:w="4414" w:type="dxa"/>
          </w:tcPr>
          <w:p w14:paraId="099A06B2" w14:textId="163A8638" w:rsidR="00AC530C" w:rsidRPr="00A66C2E" w:rsidRDefault="00AC530C" w:rsidP="00AC530C">
            <w:pPr>
              <w:rPr>
                <w:lang w:val="en-US"/>
              </w:rPr>
            </w:pPr>
            <w:r w:rsidRPr="00A66C2E">
              <w:rPr>
                <w:lang w:val="en-US" w:eastAsia="en-US" w:bidi="en-US"/>
              </w:rPr>
              <w:t>To apply for the Amnesty Program, a street vendor must submit all of the following documents to DLCP:</w:t>
            </w:r>
          </w:p>
        </w:tc>
        <w:tc>
          <w:tcPr>
            <w:tcW w:w="4414" w:type="dxa"/>
          </w:tcPr>
          <w:p w14:paraId="74FF9987" w14:textId="2EDE6290" w:rsidR="00AC530C" w:rsidRPr="00A66C2E" w:rsidRDefault="00AC530C" w:rsidP="00AC530C">
            <w:pPr>
              <w:rPr>
                <w:lang w:val="en-US"/>
              </w:rPr>
            </w:pPr>
            <w:r w:rsidRPr="00A66C2E">
              <w:rPr>
                <w:lang w:val="zh-CN" w:bidi="zh-CN"/>
              </w:rPr>
              <w:t>如需申请特赦计划，街头摊贩必须向</w:t>
            </w:r>
            <w:r w:rsidRPr="00A66C2E">
              <w:rPr>
                <w:lang w:val="zh-CN" w:bidi="zh-CN"/>
              </w:rPr>
              <w:t xml:space="preserve"> DLCP </w:t>
            </w:r>
            <w:r w:rsidRPr="00A66C2E">
              <w:rPr>
                <w:lang w:val="zh-CN" w:bidi="zh-CN"/>
              </w:rPr>
              <w:t>提交以下所有文件：</w:t>
            </w:r>
          </w:p>
        </w:tc>
      </w:tr>
      <w:tr w:rsidR="00AC530C" w:rsidRPr="00A66C2E" w14:paraId="0AD6260E" w14:textId="77777777" w:rsidTr="003A76D3">
        <w:tc>
          <w:tcPr>
            <w:tcW w:w="4414" w:type="dxa"/>
          </w:tcPr>
          <w:p w14:paraId="3FF36D7E" w14:textId="77777777" w:rsidR="00AC530C" w:rsidRPr="00A66C2E" w:rsidRDefault="00AC530C" w:rsidP="00AC530C">
            <w:pPr>
              <w:numPr>
                <w:ilvl w:val="0"/>
                <w:numId w:val="5"/>
              </w:numPr>
              <w:rPr>
                <w:lang w:val="en-US"/>
              </w:rPr>
            </w:pPr>
            <w:r w:rsidRPr="00A66C2E">
              <w:rPr>
                <w:lang w:val="en-US" w:eastAsia="en-US" w:bidi="en-US"/>
              </w:rPr>
              <w:t>A </w:t>
            </w:r>
            <w:hyperlink r:id="rId5" w:history="1">
              <w:r w:rsidRPr="00A66C2E">
                <w:rPr>
                  <w:rStyle w:val="Hipervnculo"/>
                  <w:lang w:val="en-US" w:eastAsia="en-US" w:bidi="en-US"/>
                </w:rPr>
                <w:t>basic business license application</w:t>
              </w:r>
            </w:hyperlink>
            <w:r w:rsidRPr="00A66C2E">
              <w:rPr>
                <w:lang w:val="en-US" w:eastAsia="en-US" w:bidi="en-US"/>
              </w:rPr>
              <w:t>,</w:t>
            </w:r>
          </w:p>
          <w:p w14:paraId="78BC4A32" w14:textId="77777777" w:rsidR="00AC530C" w:rsidRPr="00A66C2E" w:rsidRDefault="00AC530C" w:rsidP="00AC530C">
            <w:pPr>
              <w:numPr>
                <w:ilvl w:val="0"/>
                <w:numId w:val="5"/>
              </w:numPr>
              <w:spacing w:after="160" w:line="259" w:lineRule="auto"/>
              <w:rPr>
                <w:lang w:val="en-US"/>
              </w:rPr>
            </w:pPr>
            <w:r w:rsidRPr="00A66C2E">
              <w:rPr>
                <w:lang w:val="en-US" w:eastAsia="en-US" w:bidi="en-US"/>
              </w:rPr>
              <w:t>A vending site permit for a sidewalk vending location or any other required site permit,</w:t>
            </w:r>
          </w:p>
          <w:p w14:paraId="6A774EAE" w14:textId="77777777" w:rsidR="00AC530C" w:rsidRPr="00A66C2E" w:rsidRDefault="00AC530C" w:rsidP="00AC530C">
            <w:pPr>
              <w:numPr>
                <w:ilvl w:val="0"/>
                <w:numId w:val="5"/>
              </w:numPr>
              <w:spacing w:after="160" w:line="259" w:lineRule="auto"/>
              <w:rPr>
                <w:lang w:val="en-US"/>
              </w:rPr>
            </w:pPr>
            <w:r w:rsidRPr="00A66C2E">
              <w:rPr>
                <w:lang w:val="en-US" w:eastAsia="en-US" w:bidi="en-US"/>
              </w:rPr>
              <w:t>A copy of each unpaid citation received and the amount owed for each citation, and</w:t>
            </w:r>
          </w:p>
          <w:p w14:paraId="7E12666A" w14:textId="77777777" w:rsidR="00AC530C" w:rsidRPr="00A66C2E" w:rsidRDefault="00AC530C" w:rsidP="00AC530C">
            <w:pPr>
              <w:numPr>
                <w:ilvl w:val="0"/>
                <w:numId w:val="5"/>
              </w:numPr>
              <w:spacing w:after="160" w:line="259" w:lineRule="auto"/>
              <w:rPr>
                <w:lang w:val="en-US"/>
              </w:rPr>
            </w:pPr>
            <w:r w:rsidRPr="00A66C2E">
              <w:rPr>
                <w:lang w:val="en-US" w:eastAsia="en-US" w:bidi="en-US"/>
              </w:rPr>
              <w:t>Documentation from OTR verifying the amount of delinquent minimum sales tax, interest, and penalties owed to the OTR.</w:t>
            </w:r>
          </w:p>
          <w:p w14:paraId="16EC545C" w14:textId="586B8869" w:rsidR="00AC530C" w:rsidRPr="00A66C2E" w:rsidRDefault="00AC530C" w:rsidP="00AC530C">
            <w:pPr>
              <w:rPr>
                <w:b/>
                <w:bCs/>
                <w:lang w:val="en-US"/>
              </w:rPr>
            </w:pPr>
          </w:p>
        </w:tc>
        <w:tc>
          <w:tcPr>
            <w:tcW w:w="4414" w:type="dxa"/>
          </w:tcPr>
          <w:p w14:paraId="2477FAF7" w14:textId="77777777" w:rsidR="00AC530C" w:rsidRPr="00A66C2E" w:rsidRDefault="00A66C2E" w:rsidP="00AC530C">
            <w:pPr>
              <w:numPr>
                <w:ilvl w:val="0"/>
                <w:numId w:val="5"/>
              </w:numPr>
              <w:rPr>
                <w:lang w:val="en-US"/>
              </w:rPr>
            </w:pPr>
            <w:hyperlink r:id="rId6" w:history="1">
              <w:r w:rsidR="00AC530C" w:rsidRPr="00A66C2E">
                <w:rPr>
                  <w:rStyle w:val="Hipervnculo"/>
                  <w:lang w:val="zh-CN" w:bidi="zh-CN"/>
                </w:rPr>
                <w:t>基本营业执照申请</w:t>
              </w:r>
            </w:hyperlink>
            <w:r w:rsidR="00AC530C" w:rsidRPr="00A66C2E">
              <w:rPr>
                <w:lang w:val="zh-CN" w:bidi="zh-CN"/>
              </w:rPr>
              <w:t>、</w:t>
            </w:r>
          </w:p>
          <w:p w14:paraId="29E3A89A" w14:textId="77777777" w:rsidR="00AC530C" w:rsidRPr="00A66C2E" w:rsidRDefault="00AC530C" w:rsidP="00AC530C">
            <w:pPr>
              <w:numPr>
                <w:ilvl w:val="0"/>
                <w:numId w:val="5"/>
              </w:numPr>
              <w:spacing w:after="160" w:line="259" w:lineRule="auto"/>
              <w:rPr>
                <w:lang w:val="en-US"/>
              </w:rPr>
            </w:pPr>
            <w:r w:rsidRPr="00A66C2E">
              <w:rPr>
                <w:lang w:val="zh-CN" w:bidi="zh-CN"/>
              </w:rPr>
              <w:t>人行道贩卖点许可或任何其他所需的场地许可、</w:t>
            </w:r>
          </w:p>
          <w:p w14:paraId="1DC7F1BE" w14:textId="77777777" w:rsidR="00AC530C" w:rsidRPr="00A66C2E" w:rsidRDefault="00AC530C" w:rsidP="00AC530C">
            <w:pPr>
              <w:numPr>
                <w:ilvl w:val="0"/>
                <w:numId w:val="5"/>
              </w:numPr>
              <w:spacing w:after="160" w:line="259" w:lineRule="auto"/>
              <w:rPr>
                <w:lang w:val="en-US"/>
              </w:rPr>
            </w:pPr>
            <w:r w:rsidRPr="00A66C2E">
              <w:rPr>
                <w:lang w:val="zh-CN" w:bidi="zh-CN"/>
              </w:rPr>
              <w:t>每张未付罚单的副本以及每张罚单的金额，以及</w:t>
            </w:r>
          </w:p>
          <w:p w14:paraId="1A91B8AD" w14:textId="77777777" w:rsidR="00AC530C" w:rsidRPr="00A66C2E" w:rsidRDefault="00AC530C" w:rsidP="00AC530C">
            <w:pPr>
              <w:numPr>
                <w:ilvl w:val="0"/>
                <w:numId w:val="5"/>
              </w:numPr>
              <w:spacing w:after="160" w:line="259" w:lineRule="auto"/>
              <w:rPr>
                <w:lang w:val="en-US"/>
              </w:rPr>
            </w:pPr>
            <w:r w:rsidRPr="00A66C2E">
              <w:rPr>
                <w:lang w:val="zh-CN" w:bidi="zh-CN"/>
              </w:rPr>
              <w:t xml:space="preserve">OTR </w:t>
            </w:r>
            <w:r w:rsidRPr="00A66C2E">
              <w:rPr>
                <w:lang w:val="zh-CN" w:bidi="zh-CN"/>
              </w:rPr>
              <w:t>提供的证明文件，核实拖欠</w:t>
            </w:r>
            <w:r w:rsidRPr="00A66C2E">
              <w:rPr>
                <w:lang w:val="zh-CN" w:bidi="zh-CN"/>
              </w:rPr>
              <w:t xml:space="preserve"> OTR </w:t>
            </w:r>
            <w:r w:rsidRPr="00A66C2E">
              <w:rPr>
                <w:lang w:val="zh-CN" w:bidi="zh-CN"/>
              </w:rPr>
              <w:t>的最低销售税税款、利息和罚金。</w:t>
            </w:r>
          </w:p>
          <w:p w14:paraId="036D1548" w14:textId="2F9DEBCB" w:rsidR="00AC530C" w:rsidRPr="00A66C2E" w:rsidRDefault="00AC530C" w:rsidP="00AC530C">
            <w:pPr>
              <w:rPr>
                <w:lang w:val="en-US"/>
              </w:rPr>
            </w:pPr>
          </w:p>
        </w:tc>
      </w:tr>
      <w:tr w:rsidR="00AC530C" w:rsidRPr="00A66C2E" w14:paraId="4B45D97C" w14:textId="77777777" w:rsidTr="003A76D3">
        <w:tc>
          <w:tcPr>
            <w:tcW w:w="4414" w:type="dxa"/>
          </w:tcPr>
          <w:p w14:paraId="62933B94" w14:textId="58FEEF22" w:rsidR="00AC530C" w:rsidRPr="00A66C2E" w:rsidRDefault="00AC530C" w:rsidP="00AC530C">
            <w:pPr>
              <w:rPr>
                <w:lang w:val="en-US"/>
              </w:rPr>
            </w:pPr>
            <w:r w:rsidRPr="00A66C2E">
              <w:rPr>
                <w:lang w:val="en-US" w:eastAsia="en-US" w:bidi="en-US"/>
              </w:rPr>
              <w:t>Please note that a street vendor does not need to submit a Clean Hands Certification if applying for the Amnesty Program. Once a complete application is submitted, DLCP will review to determine whether the applicant qualifies. If DLCP determines that an applicant qualifies for the Amnesty Program and minimum sales tax payments for the time period specified are owed, DLCP will notify OTR. OTR will then forgive the amount of unpaid minimum sales tax payments owed (subject to OTR’s rules and regulations). If you qualify for the Amnesty Program and you owe vending violation fines, DLCP will forgive the unpaid vending violation fines.</w:t>
            </w:r>
          </w:p>
        </w:tc>
        <w:tc>
          <w:tcPr>
            <w:tcW w:w="4414" w:type="dxa"/>
          </w:tcPr>
          <w:p w14:paraId="456192B4" w14:textId="63669698" w:rsidR="00AC530C" w:rsidRPr="00A66C2E" w:rsidRDefault="00AC530C" w:rsidP="00AC530C">
            <w:pPr>
              <w:rPr>
                <w:lang w:val="en-US"/>
              </w:rPr>
            </w:pPr>
            <w:r w:rsidRPr="00A66C2E">
              <w:rPr>
                <w:lang w:val="zh-CN" w:bidi="zh-CN"/>
              </w:rPr>
              <w:t>请注意，申请特赦计划的街头摊贩无需提交清白证书。提交完整申请后，</w:t>
            </w:r>
            <w:r w:rsidRPr="00A66C2E">
              <w:rPr>
                <w:lang w:val="zh-CN" w:bidi="zh-CN"/>
              </w:rPr>
              <w:t xml:space="preserve">DLCP </w:t>
            </w:r>
            <w:r w:rsidRPr="00A66C2E">
              <w:rPr>
                <w:lang w:val="zh-CN" w:bidi="zh-CN"/>
              </w:rPr>
              <w:t>将进行审核，以确定申请人是否符合条件。如果</w:t>
            </w:r>
            <w:r w:rsidRPr="00A66C2E">
              <w:rPr>
                <w:lang w:val="zh-CN" w:bidi="zh-CN"/>
              </w:rPr>
              <w:t xml:space="preserve"> DLCP </w:t>
            </w:r>
            <w:r w:rsidRPr="00A66C2E">
              <w:rPr>
                <w:lang w:val="zh-CN" w:bidi="zh-CN"/>
              </w:rPr>
              <w:t>确定申请人符合特赦计划的条件，并且在在规定的时间段内拖欠最低销售税税</w:t>
            </w:r>
            <w:r w:rsidRPr="00A66C2E">
              <w:rPr>
                <w:lang w:val="zh-CN" w:bidi="zh-CN"/>
              </w:rPr>
              <w:lastRenderedPageBreak/>
              <w:t>款，</w:t>
            </w:r>
            <w:r w:rsidRPr="00A66C2E">
              <w:rPr>
                <w:lang w:val="zh-CN" w:bidi="zh-CN"/>
              </w:rPr>
              <w:t xml:space="preserve">DLCP </w:t>
            </w:r>
            <w:r w:rsidRPr="00A66C2E">
              <w:rPr>
                <w:lang w:val="zh-CN" w:bidi="zh-CN"/>
              </w:rPr>
              <w:t>则将通知</w:t>
            </w:r>
            <w:r w:rsidRPr="00A66C2E">
              <w:rPr>
                <w:lang w:val="zh-CN" w:bidi="zh-CN"/>
              </w:rPr>
              <w:t xml:space="preserve"> OTR</w:t>
            </w:r>
            <w:r w:rsidRPr="00A66C2E">
              <w:rPr>
                <w:lang w:val="zh-CN" w:bidi="zh-CN"/>
              </w:rPr>
              <w:t>。然后，</w:t>
            </w:r>
            <w:r w:rsidRPr="00A66C2E">
              <w:rPr>
                <w:lang w:val="zh-CN" w:bidi="zh-CN"/>
              </w:rPr>
              <w:t xml:space="preserve">OTR </w:t>
            </w:r>
            <w:r w:rsidRPr="00A66C2E">
              <w:rPr>
                <w:lang w:val="zh-CN" w:bidi="zh-CN"/>
              </w:rPr>
              <w:t>将宽免所欠的未付最低销售税税款（须遵守</w:t>
            </w:r>
            <w:r w:rsidRPr="00A66C2E">
              <w:rPr>
                <w:lang w:val="zh-CN" w:bidi="zh-CN"/>
              </w:rPr>
              <w:t xml:space="preserve"> OTR </w:t>
            </w:r>
            <w:r w:rsidRPr="00A66C2E">
              <w:rPr>
                <w:lang w:val="zh-CN" w:bidi="zh-CN"/>
              </w:rPr>
              <w:t>的规章制度）。如果您符合特赦计划的条件并拖欠违规贩卖罚款，</w:t>
            </w:r>
            <w:r w:rsidRPr="00A66C2E">
              <w:rPr>
                <w:lang w:val="zh-CN" w:bidi="zh-CN"/>
              </w:rPr>
              <w:t xml:space="preserve">DLCP </w:t>
            </w:r>
            <w:r w:rsidRPr="00A66C2E">
              <w:rPr>
                <w:lang w:val="zh-CN" w:bidi="zh-CN"/>
              </w:rPr>
              <w:t>将宽免未付的违规贩卖罚款。</w:t>
            </w:r>
          </w:p>
        </w:tc>
      </w:tr>
      <w:tr w:rsidR="00AC530C" w:rsidRPr="00A66C2E" w14:paraId="32FF0B49" w14:textId="77777777" w:rsidTr="003A76D3">
        <w:tc>
          <w:tcPr>
            <w:tcW w:w="4414" w:type="dxa"/>
          </w:tcPr>
          <w:p w14:paraId="0B3A5B31" w14:textId="77777777" w:rsidR="00AC530C" w:rsidRPr="00A66C2E" w:rsidRDefault="00A66C2E" w:rsidP="00AC530C">
            <w:pPr>
              <w:rPr>
                <w:b/>
                <w:bCs/>
              </w:rPr>
            </w:pPr>
            <w:hyperlink r:id="rId7" w:tooltip="Street Vending Amnesty Program FAQs" w:history="1">
              <w:r w:rsidR="00AC530C" w:rsidRPr="00A66C2E">
                <w:rPr>
                  <w:rStyle w:val="Hipervnculo"/>
                  <w:b/>
                  <w:bCs/>
                </w:rPr>
                <w:t>Street Vending Amnesty Program FAQs</w:t>
              </w:r>
            </w:hyperlink>
          </w:p>
          <w:p w14:paraId="31D6986B" w14:textId="50F1B46A" w:rsidR="00AC530C" w:rsidRPr="00A66C2E" w:rsidRDefault="00AC530C" w:rsidP="00AC530C">
            <w:pPr>
              <w:rPr>
                <w:lang w:val="en-US"/>
              </w:rPr>
            </w:pPr>
          </w:p>
        </w:tc>
        <w:tc>
          <w:tcPr>
            <w:tcW w:w="4414" w:type="dxa"/>
          </w:tcPr>
          <w:p w14:paraId="71AC2593" w14:textId="77777777" w:rsidR="00AC530C" w:rsidRPr="00A66C2E" w:rsidRDefault="00A66C2E" w:rsidP="00AC530C">
            <w:pPr>
              <w:rPr>
                <w:b/>
                <w:bCs/>
              </w:rPr>
            </w:pPr>
            <w:hyperlink r:id="rId8" w:tooltip="街头贩卖特赦计划常见问题解答" w:history="1">
              <w:r w:rsidR="00AC530C" w:rsidRPr="00A66C2E">
                <w:rPr>
                  <w:rStyle w:val="Hipervnculo"/>
                  <w:b/>
                  <w:lang w:val="zh-CN" w:bidi="zh-CN"/>
                </w:rPr>
                <w:t>街头贩卖特赦计划常见问题解答</w:t>
              </w:r>
            </w:hyperlink>
          </w:p>
          <w:p w14:paraId="10A2074F" w14:textId="0068D64B" w:rsidR="00AC530C" w:rsidRPr="00A66C2E" w:rsidRDefault="00AC530C" w:rsidP="00AC530C">
            <w:pPr>
              <w:rPr>
                <w:lang w:val="en-US"/>
              </w:rPr>
            </w:pPr>
          </w:p>
        </w:tc>
      </w:tr>
    </w:tbl>
    <w:p w14:paraId="564DF10E" w14:textId="77777777" w:rsidR="0099702B" w:rsidRPr="00A66C2E" w:rsidRDefault="0099702B">
      <w:pPr>
        <w:rPr>
          <w:lang w:val="en-US"/>
        </w:rPr>
      </w:pPr>
    </w:p>
    <w:sectPr w:rsidR="0099702B" w:rsidRPr="00A66C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ptos Display">
    <w:charset w:val="00"/>
    <w:family w:val="swiss"/>
    <w:pitch w:val="variable"/>
    <w:sig w:usb0="20000287" w:usb1="0000000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0FF"/>
    <w:multiLevelType w:val="multilevel"/>
    <w:tmpl w:val="962E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CC3DB1"/>
    <w:multiLevelType w:val="multilevel"/>
    <w:tmpl w:val="C124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A203C2"/>
    <w:multiLevelType w:val="multilevel"/>
    <w:tmpl w:val="BFCA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E742EE"/>
    <w:multiLevelType w:val="multilevel"/>
    <w:tmpl w:val="ACA0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B154FC"/>
    <w:multiLevelType w:val="multilevel"/>
    <w:tmpl w:val="FE56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61043229">
    <w:abstractNumId w:val="4"/>
  </w:num>
  <w:num w:numId="2" w16cid:durableId="279188538">
    <w:abstractNumId w:val="0"/>
  </w:num>
  <w:num w:numId="3" w16cid:durableId="1303579657">
    <w:abstractNumId w:val="2"/>
  </w:num>
  <w:num w:numId="4" w16cid:durableId="1075593227">
    <w:abstractNumId w:val="3"/>
  </w:num>
  <w:num w:numId="5" w16cid:durableId="981421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D3"/>
    <w:rsid w:val="003A76D3"/>
    <w:rsid w:val="0099702B"/>
    <w:rsid w:val="00A1664B"/>
    <w:rsid w:val="00A66C2E"/>
    <w:rsid w:val="00AC530C"/>
    <w:rsid w:val="00DA09A4"/>
  </w:rsids>
  <m:mathPr>
    <m:mathFont m:val="Cambria Math"/>
    <m:brkBin m:val="before"/>
    <m:brkBinSub m:val="--"/>
    <m:smallFrac m:val="0"/>
    <m:dispDef/>
    <m:lMargin m:val="0"/>
    <m:rMargin m:val="0"/>
    <m:defJc m:val="centerGroup"/>
    <m:wrapIndent m:val="1440"/>
    <m:intLim m:val="subSup"/>
    <m:naryLim m:val="undOvr"/>
  </m:mathPr>
  <w:themeFontLang w:val="es-CO"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99087"/>
  <w15:chartTrackingRefBased/>
  <w15:docId w15:val="{1A1ED178-3D65-487F-B5F2-619168E6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kern w:val="2"/>
        <w:sz w:val="22"/>
        <w:szCs w:val="22"/>
        <w:lang w:val="es-CO"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A76D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3A76D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3A76D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3A76D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3A76D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3A76D3"/>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3A76D3"/>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3A76D3"/>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3A76D3"/>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76D3"/>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3A76D3"/>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3A76D3"/>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3A76D3"/>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3A76D3"/>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3A76D3"/>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3A76D3"/>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3A76D3"/>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3A76D3"/>
    <w:rPr>
      <w:rFonts w:eastAsiaTheme="majorEastAsia" w:cstheme="majorBidi"/>
      <w:color w:val="272727" w:themeColor="text1" w:themeTint="D8"/>
    </w:rPr>
  </w:style>
  <w:style w:type="paragraph" w:styleId="Ttulo">
    <w:name w:val="Title"/>
    <w:basedOn w:val="Normal"/>
    <w:next w:val="Normal"/>
    <w:link w:val="TtuloCar"/>
    <w:uiPriority w:val="10"/>
    <w:qFormat/>
    <w:rsid w:val="003A76D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A76D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3A76D3"/>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3A76D3"/>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3A76D3"/>
    <w:pPr>
      <w:spacing w:before="160"/>
      <w:jc w:val="center"/>
    </w:pPr>
    <w:rPr>
      <w:i/>
      <w:iCs/>
      <w:color w:val="404040" w:themeColor="text1" w:themeTint="BF"/>
    </w:rPr>
  </w:style>
  <w:style w:type="character" w:customStyle="1" w:styleId="CitaCar">
    <w:name w:val="Cita Car"/>
    <w:basedOn w:val="Fuentedeprrafopredeter"/>
    <w:link w:val="Cita"/>
    <w:uiPriority w:val="29"/>
    <w:rsid w:val="003A76D3"/>
    <w:rPr>
      <w:i/>
      <w:iCs/>
      <w:color w:val="404040" w:themeColor="text1" w:themeTint="BF"/>
    </w:rPr>
  </w:style>
  <w:style w:type="paragraph" w:styleId="Prrafodelista">
    <w:name w:val="List Paragraph"/>
    <w:basedOn w:val="Normal"/>
    <w:uiPriority w:val="34"/>
    <w:qFormat/>
    <w:rsid w:val="003A76D3"/>
    <w:pPr>
      <w:ind w:left="720"/>
      <w:contextualSpacing/>
    </w:pPr>
  </w:style>
  <w:style w:type="character" w:styleId="nfasisintenso">
    <w:name w:val="Intense Emphasis"/>
    <w:basedOn w:val="Fuentedeprrafopredeter"/>
    <w:uiPriority w:val="21"/>
    <w:qFormat/>
    <w:rsid w:val="003A76D3"/>
    <w:rPr>
      <w:i/>
      <w:iCs/>
      <w:color w:val="0F4761" w:themeColor="accent1" w:themeShade="BF"/>
    </w:rPr>
  </w:style>
  <w:style w:type="paragraph" w:styleId="Citadestacada">
    <w:name w:val="Intense Quote"/>
    <w:basedOn w:val="Normal"/>
    <w:next w:val="Normal"/>
    <w:link w:val="CitadestacadaCar"/>
    <w:uiPriority w:val="30"/>
    <w:qFormat/>
    <w:rsid w:val="003A76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3A76D3"/>
    <w:rPr>
      <w:i/>
      <w:iCs/>
      <w:color w:val="0F4761" w:themeColor="accent1" w:themeShade="BF"/>
    </w:rPr>
  </w:style>
  <w:style w:type="character" w:styleId="Referenciaintensa">
    <w:name w:val="Intense Reference"/>
    <w:basedOn w:val="Fuentedeprrafopredeter"/>
    <w:uiPriority w:val="32"/>
    <w:qFormat/>
    <w:rsid w:val="003A76D3"/>
    <w:rPr>
      <w:b/>
      <w:bCs/>
      <w:smallCaps/>
      <w:color w:val="0F4761" w:themeColor="accent1" w:themeShade="BF"/>
      <w:spacing w:val="5"/>
    </w:rPr>
  </w:style>
  <w:style w:type="table" w:styleId="Tablaconcuadrcula">
    <w:name w:val="Table Grid"/>
    <w:basedOn w:val="Tablanormal"/>
    <w:uiPriority w:val="39"/>
    <w:rsid w:val="003A7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A76D3"/>
    <w:rPr>
      <w:color w:val="467886" w:themeColor="hyperlink"/>
      <w:u w:val="single"/>
    </w:rPr>
  </w:style>
  <w:style w:type="character" w:styleId="Mencinsinresolver">
    <w:name w:val="Unresolved Mention"/>
    <w:basedOn w:val="Fuentedeprrafopredeter"/>
    <w:uiPriority w:val="99"/>
    <w:semiHidden/>
    <w:unhideWhenUsed/>
    <w:rsid w:val="003A7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48093">
      <w:bodyDiv w:val="1"/>
      <w:marLeft w:val="0"/>
      <w:marRight w:val="0"/>
      <w:marTop w:val="0"/>
      <w:marBottom w:val="0"/>
      <w:divBdr>
        <w:top w:val="none" w:sz="0" w:space="0" w:color="auto"/>
        <w:left w:val="none" w:sz="0" w:space="0" w:color="auto"/>
        <w:bottom w:val="none" w:sz="0" w:space="0" w:color="auto"/>
        <w:right w:val="none" w:sz="0" w:space="0" w:color="auto"/>
      </w:divBdr>
    </w:div>
    <w:div w:id="385495124">
      <w:bodyDiv w:val="1"/>
      <w:marLeft w:val="0"/>
      <w:marRight w:val="0"/>
      <w:marTop w:val="0"/>
      <w:marBottom w:val="0"/>
      <w:divBdr>
        <w:top w:val="none" w:sz="0" w:space="0" w:color="auto"/>
        <w:left w:val="none" w:sz="0" w:space="0" w:color="auto"/>
        <w:bottom w:val="none" w:sz="0" w:space="0" w:color="auto"/>
        <w:right w:val="none" w:sz="0" w:space="0" w:color="auto"/>
      </w:divBdr>
    </w:div>
    <w:div w:id="407577449">
      <w:bodyDiv w:val="1"/>
      <w:marLeft w:val="0"/>
      <w:marRight w:val="0"/>
      <w:marTop w:val="0"/>
      <w:marBottom w:val="0"/>
      <w:divBdr>
        <w:top w:val="none" w:sz="0" w:space="0" w:color="auto"/>
        <w:left w:val="none" w:sz="0" w:space="0" w:color="auto"/>
        <w:bottom w:val="none" w:sz="0" w:space="0" w:color="auto"/>
        <w:right w:val="none" w:sz="0" w:space="0" w:color="auto"/>
      </w:divBdr>
    </w:div>
    <w:div w:id="446319775">
      <w:bodyDiv w:val="1"/>
      <w:marLeft w:val="0"/>
      <w:marRight w:val="0"/>
      <w:marTop w:val="0"/>
      <w:marBottom w:val="0"/>
      <w:divBdr>
        <w:top w:val="none" w:sz="0" w:space="0" w:color="auto"/>
        <w:left w:val="none" w:sz="0" w:space="0" w:color="auto"/>
        <w:bottom w:val="none" w:sz="0" w:space="0" w:color="auto"/>
        <w:right w:val="none" w:sz="0" w:space="0" w:color="auto"/>
      </w:divBdr>
    </w:div>
    <w:div w:id="527839502">
      <w:bodyDiv w:val="1"/>
      <w:marLeft w:val="0"/>
      <w:marRight w:val="0"/>
      <w:marTop w:val="0"/>
      <w:marBottom w:val="0"/>
      <w:divBdr>
        <w:top w:val="none" w:sz="0" w:space="0" w:color="auto"/>
        <w:left w:val="none" w:sz="0" w:space="0" w:color="auto"/>
        <w:bottom w:val="none" w:sz="0" w:space="0" w:color="auto"/>
        <w:right w:val="none" w:sz="0" w:space="0" w:color="auto"/>
      </w:divBdr>
    </w:div>
    <w:div w:id="533421496">
      <w:bodyDiv w:val="1"/>
      <w:marLeft w:val="0"/>
      <w:marRight w:val="0"/>
      <w:marTop w:val="0"/>
      <w:marBottom w:val="0"/>
      <w:divBdr>
        <w:top w:val="none" w:sz="0" w:space="0" w:color="auto"/>
        <w:left w:val="none" w:sz="0" w:space="0" w:color="auto"/>
        <w:bottom w:val="none" w:sz="0" w:space="0" w:color="auto"/>
        <w:right w:val="none" w:sz="0" w:space="0" w:color="auto"/>
      </w:divBdr>
    </w:div>
    <w:div w:id="585654090">
      <w:bodyDiv w:val="1"/>
      <w:marLeft w:val="0"/>
      <w:marRight w:val="0"/>
      <w:marTop w:val="0"/>
      <w:marBottom w:val="0"/>
      <w:divBdr>
        <w:top w:val="none" w:sz="0" w:space="0" w:color="auto"/>
        <w:left w:val="none" w:sz="0" w:space="0" w:color="auto"/>
        <w:bottom w:val="none" w:sz="0" w:space="0" w:color="auto"/>
        <w:right w:val="none" w:sz="0" w:space="0" w:color="auto"/>
      </w:divBdr>
    </w:div>
    <w:div w:id="609317562">
      <w:bodyDiv w:val="1"/>
      <w:marLeft w:val="0"/>
      <w:marRight w:val="0"/>
      <w:marTop w:val="0"/>
      <w:marBottom w:val="0"/>
      <w:divBdr>
        <w:top w:val="none" w:sz="0" w:space="0" w:color="auto"/>
        <w:left w:val="none" w:sz="0" w:space="0" w:color="auto"/>
        <w:bottom w:val="none" w:sz="0" w:space="0" w:color="auto"/>
        <w:right w:val="none" w:sz="0" w:space="0" w:color="auto"/>
      </w:divBdr>
    </w:div>
    <w:div w:id="652611734">
      <w:bodyDiv w:val="1"/>
      <w:marLeft w:val="0"/>
      <w:marRight w:val="0"/>
      <w:marTop w:val="0"/>
      <w:marBottom w:val="0"/>
      <w:divBdr>
        <w:top w:val="none" w:sz="0" w:space="0" w:color="auto"/>
        <w:left w:val="none" w:sz="0" w:space="0" w:color="auto"/>
        <w:bottom w:val="none" w:sz="0" w:space="0" w:color="auto"/>
        <w:right w:val="none" w:sz="0" w:space="0" w:color="auto"/>
      </w:divBdr>
    </w:div>
    <w:div w:id="875393493">
      <w:bodyDiv w:val="1"/>
      <w:marLeft w:val="0"/>
      <w:marRight w:val="0"/>
      <w:marTop w:val="0"/>
      <w:marBottom w:val="0"/>
      <w:divBdr>
        <w:top w:val="none" w:sz="0" w:space="0" w:color="auto"/>
        <w:left w:val="none" w:sz="0" w:space="0" w:color="auto"/>
        <w:bottom w:val="none" w:sz="0" w:space="0" w:color="auto"/>
        <w:right w:val="none" w:sz="0" w:space="0" w:color="auto"/>
      </w:divBdr>
    </w:div>
    <w:div w:id="924803312">
      <w:bodyDiv w:val="1"/>
      <w:marLeft w:val="0"/>
      <w:marRight w:val="0"/>
      <w:marTop w:val="0"/>
      <w:marBottom w:val="0"/>
      <w:divBdr>
        <w:top w:val="none" w:sz="0" w:space="0" w:color="auto"/>
        <w:left w:val="none" w:sz="0" w:space="0" w:color="auto"/>
        <w:bottom w:val="none" w:sz="0" w:space="0" w:color="auto"/>
        <w:right w:val="none" w:sz="0" w:space="0" w:color="auto"/>
      </w:divBdr>
    </w:div>
    <w:div w:id="927422258">
      <w:bodyDiv w:val="1"/>
      <w:marLeft w:val="0"/>
      <w:marRight w:val="0"/>
      <w:marTop w:val="0"/>
      <w:marBottom w:val="0"/>
      <w:divBdr>
        <w:top w:val="none" w:sz="0" w:space="0" w:color="auto"/>
        <w:left w:val="none" w:sz="0" w:space="0" w:color="auto"/>
        <w:bottom w:val="none" w:sz="0" w:space="0" w:color="auto"/>
        <w:right w:val="none" w:sz="0" w:space="0" w:color="auto"/>
      </w:divBdr>
      <w:divsChild>
        <w:div w:id="1040015287">
          <w:marLeft w:val="0"/>
          <w:marRight w:val="0"/>
          <w:marTop w:val="0"/>
          <w:marBottom w:val="0"/>
          <w:divBdr>
            <w:top w:val="none" w:sz="0" w:space="0" w:color="auto"/>
            <w:left w:val="none" w:sz="0" w:space="0" w:color="auto"/>
            <w:bottom w:val="none" w:sz="0" w:space="0" w:color="auto"/>
            <w:right w:val="none" w:sz="0" w:space="0" w:color="auto"/>
          </w:divBdr>
        </w:div>
        <w:div w:id="337510808">
          <w:marLeft w:val="0"/>
          <w:marRight w:val="0"/>
          <w:marTop w:val="0"/>
          <w:marBottom w:val="0"/>
          <w:divBdr>
            <w:top w:val="none" w:sz="0" w:space="0" w:color="auto"/>
            <w:left w:val="none" w:sz="0" w:space="0" w:color="auto"/>
            <w:bottom w:val="none" w:sz="0" w:space="0" w:color="auto"/>
            <w:right w:val="none" w:sz="0" w:space="0" w:color="auto"/>
          </w:divBdr>
        </w:div>
      </w:divsChild>
    </w:div>
    <w:div w:id="944118368">
      <w:bodyDiv w:val="1"/>
      <w:marLeft w:val="0"/>
      <w:marRight w:val="0"/>
      <w:marTop w:val="0"/>
      <w:marBottom w:val="0"/>
      <w:divBdr>
        <w:top w:val="none" w:sz="0" w:space="0" w:color="auto"/>
        <w:left w:val="none" w:sz="0" w:space="0" w:color="auto"/>
        <w:bottom w:val="none" w:sz="0" w:space="0" w:color="auto"/>
        <w:right w:val="none" w:sz="0" w:space="0" w:color="auto"/>
      </w:divBdr>
    </w:div>
    <w:div w:id="1055661541">
      <w:bodyDiv w:val="1"/>
      <w:marLeft w:val="0"/>
      <w:marRight w:val="0"/>
      <w:marTop w:val="0"/>
      <w:marBottom w:val="0"/>
      <w:divBdr>
        <w:top w:val="none" w:sz="0" w:space="0" w:color="auto"/>
        <w:left w:val="none" w:sz="0" w:space="0" w:color="auto"/>
        <w:bottom w:val="none" w:sz="0" w:space="0" w:color="auto"/>
        <w:right w:val="none" w:sz="0" w:space="0" w:color="auto"/>
      </w:divBdr>
    </w:div>
    <w:div w:id="1057433191">
      <w:bodyDiv w:val="1"/>
      <w:marLeft w:val="0"/>
      <w:marRight w:val="0"/>
      <w:marTop w:val="0"/>
      <w:marBottom w:val="0"/>
      <w:divBdr>
        <w:top w:val="none" w:sz="0" w:space="0" w:color="auto"/>
        <w:left w:val="none" w:sz="0" w:space="0" w:color="auto"/>
        <w:bottom w:val="none" w:sz="0" w:space="0" w:color="auto"/>
        <w:right w:val="none" w:sz="0" w:space="0" w:color="auto"/>
      </w:divBdr>
    </w:div>
    <w:div w:id="1162967485">
      <w:bodyDiv w:val="1"/>
      <w:marLeft w:val="0"/>
      <w:marRight w:val="0"/>
      <w:marTop w:val="0"/>
      <w:marBottom w:val="0"/>
      <w:divBdr>
        <w:top w:val="none" w:sz="0" w:space="0" w:color="auto"/>
        <w:left w:val="none" w:sz="0" w:space="0" w:color="auto"/>
        <w:bottom w:val="none" w:sz="0" w:space="0" w:color="auto"/>
        <w:right w:val="none" w:sz="0" w:space="0" w:color="auto"/>
      </w:divBdr>
      <w:divsChild>
        <w:div w:id="1968583976">
          <w:marLeft w:val="0"/>
          <w:marRight w:val="0"/>
          <w:marTop w:val="0"/>
          <w:marBottom w:val="0"/>
          <w:divBdr>
            <w:top w:val="none" w:sz="0" w:space="0" w:color="auto"/>
            <w:left w:val="none" w:sz="0" w:space="0" w:color="auto"/>
            <w:bottom w:val="none" w:sz="0" w:space="0" w:color="auto"/>
            <w:right w:val="none" w:sz="0" w:space="0" w:color="auto"/>
          </w:divBdr>
        </w:div>
        <w:div w:id="1511673766">
          <w:marLeft w:val="0"/>
          <w:marRight w:val="0"/>
          <w:marTop w:val="0"/>
          <w:marBottom w:val="0"/>
          <w:divBdr>
            <w:top w:val="none" w:sz="0" w:space="0" w:color="auto"/>
            <w:left w:val="none" w:sz="0" w:space="0" w:color="auto"/>
            <w:bottom w:val="none" w:sz="0" w:space="0" w:color="auto"/>
            <w:right w:val="none" w:sz="0" w:space="0" w:color="auto"/>
          </w:divBdr>
        </w:div>
      </w:divsChild>
    </w:div>
    <w:div w:id="1180193579">
      <w:bodyDiv w:val="1"/>
      <w:marLeft w:val="0"/>
      <w:marRight w:val="0"/>
      <w:marTop w:val="0"/>
      <w:marBottom w:val="0"/>
      <w:divBdr>
        <w:top w:val="none" w:sz="0" w:space="0" w:color="auto"/>
        <w:left w:val="none" w:sz="0" w:space="0" w:color="auto"/>
        <w:bottom w:val="none" w:sz="0" w:space="0" w:color="auto"/>
        <w:right w:val="none" w:sz="0" w:space="0" w:color="auto"/>
      </w:divBdr>
    </w:div>
    <w:div w:id="1388067337">
      <w:bodyDiv w:val="1"/>
      <w:marLeft w:val="0"/>
      <w:marRight w:val="0"/>
      <w:marTop w:val="0"/>
      <w:marBottom w:val="0"/>
      <w:divBdr>
        <w:top w:val="none" w:sz="0" w:space="0" w:color="auto"/>
        <w:left w:val="none" w:sz="0" w:space="0" w:color="auto"/>
        <w:bottom w:val="none" w:sz="0" w:space="0" w:color="auto"/>
        <w:right w:val="none" w:sz="0" w:space="0" w:color="auto"/>
      </w:divBdr>
    </w:div>
    <w:div w:id="1506507759">
      <w:bodyDiv w:val="1"/>
      <w:marLeft w:val="0"/>
      <w:marRight w:val="0"/>
      <w:marTop w:val="0"/>
      <w:marBottom w:val="0"/>
      <w:divBdr>
        <w:top w:val="none" w:sz="0" w:space="0" w:color="auto"/>
        <w:left w:val="none" w:sz="0" w:space="0" w:color="auto"/>
        <w:bottom w:val="none" w:sz="0" w:space="0" w:color="auto"/>
        <w:right w:val="none" w:sz="0" w:space="0" w:color="auto"/>
      </w:divBdr>
    </w:div>
    <w:div w:id="1530414150">
      <w:bodyDiv w:val="1"/>
      <w:marLeft w:val="0"/>
      <w:marRight w:val="0"/>
      <w:marTop w:val="0"/>
      <w:marBottom w:val="0"/>
      <w:divBdr>
        <w:top w:val="none" w:sz="0" w:space="0" w:color="auto"/>
        <w:left w:val="none" w:sz="0" w:space="0" w:color="auto"/>
        <w:bottom w:val="none" w:sz="0" w:space="0" w:color="auto"/>
        <w:right w:val="none" w:sz="0" w:space="0" w:color="auto"/>
      </w:divBdr>
    </w:div>
    <w:div w:id="1694309304">
      <w:bodyDiv w:val="1"/>
      <w:marLeft w:val="0"/>
      <w:marRight w:val="0"/>
      <w:marTop w:val="0"/>
      <w:marBottom w:val="0"/>
      <w:divBdr>
        <w:top w:val="none" w:sz="0" w:space="0" w:color="auto"/>
        <w:left w:val="none" w:sz="0" w:space="0" w:color="auto"/>
        <w:bottom w:val="none" w:sz="0" w:space="0" w:color="auto"/>
        <w:right w:val="none" w:sz="0" w:space="0" w:color="auto"/>
      </w:divBdr>
    </w:div>
    <w:div w:id="1763792801">
      <w:bodyDiv w:val="1"/>
      <w:marLeft w:val="0"/>
      <w:marRight w:val="0"/>
      <w:marTop w:val="0"/>
      <w:marBottom w:val="0"/>
      <w:divBdr>
        <w:top w:val="none" w:sz="0" w:space="0" w:color="auto"/>
        <w:left w:val="none" w:sz="0" w:space="0" w:color="auto"/>
        <w:bottom w:val="none" w:sz="0" w:space="0" w:color="auto"/>
        <w:right w:val="none" w:sz="0" w:space="0" w:color="auto"/>
      </w:divBdr>
    </w:div>
    <w:div w:id="1833718321">
      <w:bodyDiv w:val="1"/>
      <w:marLeft w:val="0"/>
      <w:marRight w:val="0"/>
      <w:marTop w:val="0"/>
      <w:marBottom w:val="0"/>
      <w:divBdr>
        <w:top w:val="none" w:sz="0" w:space="0" w:color="auto"/>
        <w:left w:val="none" w:sz="0" w:space="0" w:color="auto"/>
        <w:bottom w:val="none" w:sz="0" w:space="0" w:color="auto"/>
        <w:right w:val="none" w:sz="0" w:space="0" w:color="auto"/>
      </w:divBdr>
    </w:div>
    <w:div w:id="2027169483">
      <w:bodyDiv w:val="1"/>
      <w:marLeft w:val="0"/>
      <w:marRight w:val="0"/>
      <w:marTop w:val="0"/>
      <w:marBottom w:val="0"/>
      <w:divBdr>
        <w:top w:val="none" w:sz="0" w:space="0" w:color="auto"/>
        <w:left w:val="none" w:sz="0" w:space="0" w:color="auto"/>
        <w:bottom w:val="none" w:sz="0" w:space="0" w:color="auto"/>
        <w:right w:val="none" w:sz="0" w:space="0" w:color="auto"/>
      </w:divBdr>
    </w:div>
    <w:div w:id="206702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cp.dc.gov/node/1683071" TargetMode="External"/><Relationship Id="rId3" Type="http://schemas.openxmlformats.org/officeDocument/2006/relationships/settings" Target="settings.xml"/><Relationship Id="rId7" Type="http://schemas.openxmlformats.org/officeDocument/2006/relationships/hyperlink" Target="https://dlcp.dc.gov/node/16830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ta.business.dc.gov/" TargetMode="External"/><Relationship Id="rId5" Type="http://schemas.openxmlformats.org/officeDocument/2006/relationships/hyperlink" Target="http://beta.business.dc.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915</Words>
  <Characters>2370</Characters>
  <Application>Microsoft Office Word</Application>
  <DocSecurity>0</DocSecurity>
  <Lines>107</Lines>
  <Paragraphs>37</Paragraphs>
  <ScaleCrop>false</ScaleCrop>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Hernandez</dc:creator>
  <cp:keywords/>
  <dc:description/>
  <cp:lastModifiedBy>ACSI Translations</cp:lastModifiedBy>
  <cp:revision>4</cp:revision>
  <dcterms:created xsi:type="dcterms:W3CDTF">2023-12-18T17:52:00Z</dcterms:created>
  <dcterms:modified xsi:type="dcterms:W3CDTF">2023-12-19T18:24:00Z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dfea28a6-d4a5-4913-bd67-4640324431ad</vt:lpwstr>
  </property>
</Properties>
</file>