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4414"/>
        <w:gridCol w:w="4414"/>
      </w:tblGrid>
      <w:tr w:rsidR="003A76D3" w:rsidRPr="00EC069E" w14:paraId="362757DC" w14:textId="77777777" w:rsidTr="003A76D3">
        <w:tc>
          <w:tcPr>
            <w:tcW w:w="4414" w:type="dxa"/>
          </w:tcPr>
          <w:p w14:paraId="5DAEE6CC" w14:textId="4529CC6B" w:rsidR="003A76D3" w:rsidRPr="00EC069E" w:rsidRDefault="00EC069E">
            <w:r>
              <w:rPr>
                <w:lang w:bidi="fr-FR"/>
              </w:rPr>
              <w:t>ENGLISH</w:t>
            </w:r>
          </w:p>
        </w:tc>
        <w:tc>
          <w:tcPr>
            <w:tcW w:w="4414" w:type="dxa"/>
          </w:tcPr>
          <w:p w14:paraId="19D9087D" w14:textId="37E17238" w:rsidR="003A76D3" w:rsidRPr="00EC069E" w:rsidRDefault="00EC069E">
            <w:r>
              <w:rPr>
                <w:lang w:bidi="fr-FR"/>
              </w:rPr>
              <w:t>FRENCH</w:t>
            </w:r>
          </w:p>
        </w:tc>
      </w:tr>
      <w:tr w:rsidR="00AC530C" w:rsidRPr="00EC069E" w14:paraId="0CCC58AC" w14:textId="77777777" w:rsidTr="003A76D3">
        <w:tc>
          <w:tcPr>
            <w:tcW w:w="4414" w:type="dxa"/>
          </w:tcPr>
          <w:p w14:paraId="21BD2BE4" w14:textId="77777777" w:rsidR="00AC530C" w:rsidRPr="00EC069E" w:rsidRDefault="00AC530C" w:rsidP="00AC530C">
            <w:pPr>
              <w:rPr>
                <w:b/>
                <w:bCs/>
              </w:rPr>
            </w:pPr>
            <w:r w:rsidRPr="00EC069E">
              <w:rPr>
                <w:b/>
                <w:bCs/>
              </w:rPr>
              <w:t>Street Vending Amnesty Program</w:t>
            </w:r>
          </w:p>
          <w:p w14:paraId="1E627275" w14:textId="223EBA81" w:rsidR="00AC530C" w:rsidRPr="00EC069E" w:rsidRDefault="00AC530C" w:rsidP="00AC530C">
            <w:pPr>
              <w:rPr>
                <w:lang w:val="en-US"/>
              </w:rPr>
            </w:pPr>
          </w:p>
        </w:tc>
        <w:tc>
          <w:tcPr>
            <w:tcW w:w="4414" w:type="dxa"/>
          </w:tcPr>
          <w:p w14:paraId="6E7AA440" w14:textId="77777777" w:rsidR="00AC530C" w:rsidRPr="00EC069E" w:rsidRDefault="00AC530C" w:rsidP="00AC530C">
            <w:pPr>
              <w:rPr>
                <w:b/>
                <w:bCs/>
              </w:rPr>
            </w:pPr>
            <w:r w:rsidRPr="00EC069E">
              <w:rPr>
                <w:b/>
                <w:lang w:bidi="fr-FR"/>
              </w:rPr>
              <w:t>Programme d’amnistie relatif au commerce ambulant</w:t>
            </w:r>
          </w:p>
          <w:p w14:paraId="41CDBCAF" w14:textId="2CDFD6C3" w:rsidR="00AC530C" w:rsidRPr="00EC069E" w:rsidRDefault="00AC530C" w:rsidP="00AC530C">
            <w:pPr>
              <w:rPr>
                <w:lang w:val="en-US"/>
              </w:rPr>
            </w:pPr>
          </w:p>
        </w:tc>
      </w:tr>
      <w:tr w:rsidR="00AC530C" w:rsidRPr="00EC069E" w14:paraId="343FB66C" w14:textId="77777777" w:rsidTr="003A76D3">
        <w:tc>
          <w:tcPr>
            <w:tcW w:w="4414" w:type="dxa"/>
          </w:tcPr>
          <w:p w14:paraId="20C39430" w14:textId="77777777" w:rsidR="00AC530C" w:rsidRPr="00EC069E" w:rsidRDefault="00AC530C" w:rsidP="00AC530C">
            <w:pPr>
              <w:rPr>
                <w:b/>
                <w:bCs/>
              </w:rPr>
            </w:pPr>
            <w:r w:rsidRPr="00EC069E">
              <w:rPr>
                <w:b/>
                <w:bCs/>
              </w:rPr>
              <w:t>Street Vending Amnesty Program</w:t>
            </w:r>
          </w:p>
          <w:p w14:paraId="167282D2" w14:textId="2F9E6BDB" w:rsidR="00AC530C" w:rsidRPr="00EC069E" w:rsidRDefault="00AC530C" w:rsidP="00AC530C">
            <w:pPr>
              <w:rPr>
                <w:lang w:val="en-US"/>
              </w:rPr>
            </w:pPr>
          </w:p>
        </w:tc>
        <w:tc>
          <w:tcPr>
            <w:tcW w:w="4414" w:type="dxa"/>
          </w:tcPr>
          <w:p w14:paraId="71FC25D4" w14:textId="77777777" w:rsidR="00AC530C" w:rsidRPr="00EC069E" w:rsidRDefault="00AC530C" w:rsidP="00AC530C">
            <w:pPr>
              <w:rPr>
                <w:b/>
                <w:bCs/>
              </w:rPr>
            </w:pPr>
            <w:r w:rsidRPr="00EC069E">
              <w:rPr>
                <w:b/>
                <w:lang w:bidi="fr-FR"/>
              </w:rPr>
              <w:t>Programme d’amnistie relatif au commerce ambulant</w:t>
            </w:r>
          </w:p>
          <w:p w14:paraId="42117EF1" w14:textId="5B859B29" w:rsidR="00AC530C" w:rsidRPr="00EC069E" w:rsidRDefault="00AC530C" w:rsidP="00AC530C">
            <w:pPr>
              <w:rPr>
                <w:lang w:val="en-US"/>
              </w:rPr>
            </w:pPr>
          </w:p>
        </w:tc>
      </w:tr>
      <w:tr w:rsidR="00AC530C" w:rsidRPr="00EC069E" w14:paraId="3E14EBB2" w14:textId="77777777" w:rsidTr="003A76D3">
        <w:tc>
          <w:tcPr>
            <w:tcW w:w="4414" w:type="dxa"/>
          </w:tcPr>
          <w:p w14:paraId="0B462308" w14:textId="409CABAA" w:rsidR="00AC530C" w:rsidRPr="00EC069E" w:rsidRDefault="00AC530C" w:rsidP="00AC530C">
            <w:pPr>
              <w:rPr>
                <w:lang w:val="en-US"/>
              </w:rPr>
            </w:pPr>
            <w:r w:rsidRPr="00EC069E">
              <w:rPr>
                <w:lang w:val="en-US" w:bidi="en-US"/>
              </w:rPr>
              <w:t>Starting October 1, 2023, DLCP will administer the Street Vending Amnesty Program (the “Amnesty Program”) pursuant to D.C. Act 25-94. The Amnesty Program will be available to applicants for 5 years. The purpose of the Amnesty Program is to allow street vendors with certain debt to qualify to obtain a Vending License. Additionally, a street vendor who qualifies for the Amnesty Program will also be eligible to have this unpaid debt forgiven.</w:t>
            </w:r>
          </w:p>
        </w:tc>
        <w:tc>
          <w:tcPr>
            <w:tcW w:w="4414" w:type="dxa"/>
          </w:tcPr>
          <w:p w14:paraId="1CBA9C8F" w14:textId="71443C82" w:rsidR="00AC530C" w:rsidRPr="00EC069E" w:rsidRDefault="00AC530C" w:rsidP="00AC530C">
            <w:pPr>
              <w:rPr>
                <w:lang w:val="en-US"/>
              </w:rPr>
            </w:pPr>
            <w:r w:rsidRPr="00EC069E">
              <w:rPr>
                <w:lang w:bidi="fr-FR"/>
              </w:rPr>
              <w:t>Depuis le 1er octobre 2023, le DLCP gère le programme d’amnistie relatif au commerce ambulant conformément à la D.C. Act 25-94. Le programme d’amnistie sera disponible pour les demandeurs pendant 5 ans. L’objectif de ce programme est de permettre aux vendeurs ambulants ayant contracté certaines dettes de remplir les conditions nécessaires à l’obtention d’une licence de vente. Par ailleurs, un vendeur ambulant qui remplit les conditions requises pour participer au programme d’amnistie pourra également bénéficier d’une remise de sa dette impayée.</w:t>
            </w:r>
          </w:p>
        </w:tc>
      </w:tr>
      <w:tr w:rsidR="00AC530C" w:rsidRPr="00EC069E" w14:paraId="6E57F8A5" w14:textId="77777777" w:rsidTr="003A76D3">
        <w:tc>
          <w:tcPr>
            <w:tcW w:w="4414" w:type="dxa"/>
          </w:tcPr>
          <w:p w14:paraId="43A2EC06" w14:textId="063633CF" w:rsidR="00AC530C" w:rsidRPr="00EC069E" w:rsidRDefault="00AC530C" w:rsidP="00AC530C">
            <w:pPr>
              <w:rPr>
                <w:lang w:val="en-US"/>
              </w:rPr>
            </w:pPr>
            <w:r w:rsidRPr="00EC069E">
              <w:rPr>
                <w:lang w:val="en-US" w:bidi="en-US"/>
              </w:rPr>
              <w:t>A street vendor may qualify for this program only if they have debt incurred between January 1, 2010 and September 30, 2023 for the following:</w:t>
            </w:r>
          </w:p>
        </w:tc>
        <w:tc>
          <w:tcPr>
            <w:tcW w:w="4414" w:type="dxa"/>
          </w:tcPr>
          <w:p w14:paraId="5C456C48" w14:textId="61D2493A" w:rsidR="00AC530C" w:rsidRPr="00EC069E" w:rsidRDefault="00AC530C" w:rsidP="00AC530C">
            <w:pPr>
              <w:rPr>
                <w:lang w:val="en-US"/>
              </w:rPr>
            </w:pPr>
            <w:r w:rsidRPr="00EC069E">
              <w:rPr>
                <w:lang w:bidi="fr-FR"/>
              </w:rPr>
              <w:t>Un vendeur ambulant ne peut prétendre à ce programme que s’il a contracté des dettes entre le 1er janvier 2010 et le 30 septembre 2023 dans les cas suivants :</w:t>
            </w:r>
          </w:p>
        </w:tc>
      </w:tr>
      <w:tr w:rsidR="00AC530C" w:rsidRPr="00EC069E" w14:paraId="7526C629" w14:textId="77777777" w:rsidTr="003A76D3">
        <w:tc>
          <w:tcPr>
            <w:tcW w:w="4414" w:type="dxa"/>
          </w:tcPr>
          <w:p w14:paraId="4873DBE6" w14:textId="77777777" w:rsidR="00AC530C" w:rsidRPr="00EC069E" w:rsidRDefault="00AC530C" w:rsidP="00AC530C">
            <w:pPr>
              <w:spacing w:after="160" w:line="259" w:lineRule="auto"/>
              <w:rPr>
                <w:lang w:val="en-US"/>
              </w:rPr>
            </w:pPr>
            <w:r w:rsidRPr="00EC069E">
              <w:rPr>
                <w:lang w:val="en-US" w:bidi="en-US"/>
              </w:rPr>
              <w:t>Vending violation fines issued by DLCP [or its predecessor the Department of Consumer and Regulatory Affairs (“DCRA”)], and/or</w:t>
            </w:r>
          </w:p>
          <w:p w14:paraId="3FEAC0C3" w14:textId="1FC7D4C8" w:rsidR="00AC530C" w:rsidRPr="00EC069E" w:rsidRDefault="00AC530C" w:rsidP="00AC530C">
            <w:pPr>
              <w:spacing w:after="160" w:line="259" w:lineRule="auto"/>
              <w:rPr>
                <w:lang w:val="en-US"/>
              </w:rPr>
            </w:pPr>
            <w:r w:rsidRPr="00EC069E">
              <w:rPr>
                <w:lang w:val="en-US" w:bidi="en-US"/>
              </w:rPr>
              <w:t>Minimum sales tax payments issued by the Office of Tax and Revenue (OTR) pursuant to D.C. Official Code  § 47-2002.01.</w:t>
            </w:r>
          </w:p>
        </w:tc>
        <w:tc>
          <w:tcPr>
            <w:tcW w:w="4414" w:type="dxa"/>
          </w:tcPr>
          <w:p w14:paraId="5B50159A" w14:textId="77777777" w:rsidR="00AC530C" w:rsidRPr="00EC069E" w:rsidRDefault="00AC530C" w:rsidP="00AC530C">
            <w:pPr>
              <w:spacing w:after="160" w:line="259" w:lineRule="auto"/>
              <w:rPr>
                <w:lang w:val="en-US"/>
              </w:rPr>
            </w:pPr>
            <w:r w:rsidRPr="00EC069E">
              <w:rPr>
                <w:lang w:bidi="fr-FR"/>
              </w:rPr>
              <w:t>Amendes pour violation des règles de vente établies par le DLCP [ou son prédécesseur, le Department of Consumer and Regulatory Affairs (Département de la consommation et de la réglementation, « DCRA »)], et/ou</w:t>
            </w:r>
          </w:p>
          <w:p w14:paraId="2BF1C531" w14:textId="2A59A57D" w:rsidR="00AC530C" w:rsidRPr="00EC069E" w:rsidRDefault="00AC530C" w:rsidP="00AC530C">
            <w:pPr>
              <w:rPr>
                <w:lang w:val="en-US"/>
              </w:rPr>
            </w:pPr>
            <w:r w:rsidRPr="00EC069E">
              <w:rPr>
                <w:lang w:bidi="fr-FR"/>
              </w:rPr>
              <w:t>Paiements minimums au titre de la taxe sur les ventes versés par l’OTR (Office of Tax and Revenue) conformément à l’article 47-2002.01 du code officiel de DC.</w:t>
            </w:r>
          </w:p>
        </w:tc>
      </w:tr>
      <w:tr w:rsidR="00AC530C" w:rsidRPr="00EC069E" w14:paraId="2030C248" w14:textId="77777777" w:rsidTr="003A76D3">
        <w:tc>
          <w:tcPr>
            <w:tcW w:w="4414" w:type="dxa"/>
          </w:tcPr>
          <w:p w14:paraId="6B8CF92B" w14:textId="63B0A24C" w:rsidR="00AC530C" w:rsidRPr="00EC069E" w:rsidRDefault="00AC530C" w:rsidP="00AC530C">
            <w:pPr>
              <w:rPr>
                <w:lang w:val="en-US"/>
              </w:rPr>
            </w:pPr>
            <w:r w:rsidRPr="00EC069E">
              <w:rPr>
                <w:lang w:val="en-US" w:bidi="en-US"/>
              </w:rPr>
              <w:t>If there is any other debt owed, other than the debt specified above, then the street vendor will not qualify for the Amnesty Program. A street vendor must resolve any other debt owed before they can qualify for the Amnesty Program.</w:t>
            </w:r>
          </w:p>
        </w:tc>
        <w:tc>
          <w:tcPr>
            <w:tcW w:w="4414" w:type="dxa"/>
          </w:tcPr>
          <w:p w14:paraId="1A3FE494" w14:textId="4C2E7F81" w:rsidR="00AC530C" w:rsidRPr="00EC069E" w:rsidRDefault="00AC530C" w:rsidP="00AC530C">
            <w:pPr>
              <w:rPr>
                <w:lang w:val="en-US"/>
              </w:rPr>
            </w:pPr>
            <w:r w:rsidRPr="00EC069E">
              <w:rPr>
                <w:lang w:bidi="fr-FR"/>
              </w:rPr>
              <w:t>S’il existe une dette autre que celle spécifiée ci-dessus, le vendeur ambulant ne pourra pas participer au programme d’amnistie. Il devra régler toute autre dette avant de pouvoir prétendre audit programme.</w:t>
            </w:r>
          </w:p>
        </w:tc>
      </w:tr>
      <w:tr w:rsidR="00AC530C" w:rsidRPr="00EC069E" w14:paraId="0CB1B919" w14:textId="77777777" w:rsidTr="003A76D3">
        <w:tc>
          <w:tcPr>
            <w:tcW w:w="4414" w:type="dxa"/>
          </w:tcPr>
          <w:p w14:paraId="099A06B2" w14:textId="163A8638" w:rsidR="00AC530C" w:rsidRPr="00EC069E" w:rsidRDefault="00AC530C" w:rsidP="00AC530C">
            <w:pPr>
              <w:rPr>
                <w:lang w:val="en-US"/>
              </w:rPr>
            </w:pPr>
            <w:r w:rsidRPr="00EC069E">
              <w:rPr>
                <w:lang w:val="en-US" w:bidi="en-US"/>
              </w:rPr>
              <w:t>To apply for the Amnesty Program, a street vendor must submit all of the following documents to DLCP:</w:t>
            </w:r>
          </w:p>
        </w:tc>
        <w:tc>
          <w:tcPr>
            <w:tcW w:w="4414" w:type="dxa"/>
          </w:tcPr>
          <w:p w14:paraId="74FF9987" w14:textId="2EDE6290" w:rsidR="00AC530C" w:rsidRPr="00EC069E" w:rsidRDefault="00AC530C" w:rsidP="00AC530C">
            <w:pPr>
              <w:rPr>
                <w:lang w:val="en-US"/>
              </w:rPr>
            </w:pPr>
            <w:r w:rsidRPr="00EC069E">
              <w:rPr>
                <w:lang w:bidi="fr-FR"/>
              </w:rPr>
              <w:t>Pour demander à participer au programme d’amnistie, un vendeur ambulant doit soumettre tous les documents suivants auprès du DLCP :</w:t>
            </w:r>
          </w:p>
        </w:tc>
      </w:tr>
      <w:tr w:rsidR="00AC530C" w:rsidRPr="00EC069E" w14:paraId="0AD6260E" w14:textId="77777777" w:rsidTr="003A76D3">
        <w:tc>
          <w:tcPr>
            <w:tcW w:w="4414" w:type="dxa"/>
          </w:tcPr>
          <w:p w14:paraId="3FF36D7E" w14:textId="77777777" w:rsidR="00AC530C" w:rsidRPr="00EC069E" w:rsidRDefault="00AC530C" w:rsidP="00AC530C">
            <w:pPr>
              <w:numPr>
                <w:ilvl w:val="0"/>
                <w:numId w:val="5"/>
              </w:numPr>
              <w:rPr>
                <w:lang w:val="en-US"/>
              </w:rPr>
            </w:pPr>
            <w:r w:rsidRPr="00EC069E">
              <w:rPr>
                <w:lang w:val="en-US" w:bidi="en-US"/>
              </w:rPr>
              <w:t>A </w:t>
            </w:r>
            <w:hyperlink r:id="rId5" w:history="1">
              <w:r w:rsidRPr="00EC069E">
                <w:rPr>
                  <w:rStyle w:val="Hipervnculo"/>
                  <w:lang w:val="en-US" w:bidi="en-US"/>
                </w:rPr>
                <w:t>basic business license application</w:t>
              </w:r>
            </w:hyperlink>
            <w:r w:rsidRPr="00EC069E">
              <w:rPr>
                <w:lang w:val="en-US" w:bidi="en-US"/>
              </w:rPr>
              <w:t>,</w:t>
            </w:r>
          </w:p>
          <w:p w14:paraId="78BC4A32" w14:textId="77777777" w:rsidR="00AC530C" w:rsidRPr="00EC069E" w:rsidRDefault="00AC530C" w:rsidP="00AC530C">
            <w:pPr>
              <w:numPr>
                <w:ilvl w:val="0"/>
                <w:numId w:val="5"/>
              </w:numPr>
              <w:spacing w:after="160" w:line="259" w:lineRule="auto"/>
              <w:rPr>
                <w:lang w:val="en-US"/>
              </w:rPr>
            </w:pPr>
            <w:r w:rsidRPr="00EC069E">
              <w:rPr>
                <w:lang w:val="en-US" w:bidi="en-US"/>
              </w:rPr>
              <w:t>A vending site permit for a sidewalk vending location or any other required site permit,</w:t>
            </w:r>
          </w:p>
          <w:p w14:paraId="6A774EAE" w14:textId="77777777" w:rsidR="00AC530C" w:rsidRPr="00EC069E" w:rsidRDefault="00AC530C" w:rsidP="00AC530C">
            <w:pPr>
              <w:numPr>
                <w:ilvl w:val="0"/>
                <w:numId w:val="5"/>
              </w:numPr>
              <w:spacing w:after="160" w:line="259" w:lineRule="auto"/>
              <w:rPr>
                <w:lang w:val="en-US"/>
              </w:rPr>
            </w:pPr>
            <w:r w:rsidRPr="00EC069E">
              <w:rPr>
                <w:lang w:val="en-US" w:bidi="en-US"/>
              </w:rPr>
              <w:t>A copy of each unpaid citation received and the amount owed for each citation, and</w:t>
            </w:r>
          </w:p>
          <w:p w14:paraId="7E12666A" w14:textId="77777777" w:rsidR="00AC530C" w:rsidRPr="00EC069E" w:rsidRDefault="00AC530C" w:rsidP="00AC530C">
            <w:pPr>
              <w:numPr>
                <w:ilvl w:val="0"/>
                <w:numId w:val="5"/>
              </w:numPr>
              <w:spacing w:after="160" w:line="259" w:lineRule="auto"/>
              <w:rPr>
                <w:lang w:val="en-US"/>
              </w:rPr>
            </w:pPr>
            <w:r w:rsidRPr="00EC069E">
              <w:rPr>
                <w:lang w:val="en-US" w:bidi="en-US"/>
              </w:rPr>
              <w:t>Documentation from OTR verifying the amount of delinquent minimum sales tax, interest, and penalties owed to the OTR.</w:t>
            </w:r>
          </w:p>
          <w:p w14:paraId="16EC545C" w14:textId="586B8869" w:rsidR="00AC530C" w:rsidRPr="00EC069E" w:rsidRDefault="00AC530C" w:rsidP="00AC530C">
            <w:pPr>
              <w:rPr>
                <w:b/>
                <w:bCs/>
                <w:lang w:val="en-US"/>
              </w:rPr>
            </w:pPr>
          </w:p>
        </w:tc>
        <w:tc>
          <w:tcPr>
            <w:tcW w:w="4414" w:type="dxa"/>
          </w:tcPr>
          <w:p w14:paraId="2477FAF7" w14:textId="77777777" w:rsidR="00AC530C" w:rsidRPr="00EC069E" w:rsidRDefault="00AC530C" w:rsidP="00AC530C">
            <w:pPr>
              <w:numPr>
                <w:ilvl w:val="0"/>
                <w:numId w:val="5"/>
              </w:numPr>
              <w:rPr>
                <w:lang w:val="en-US"/>
              </w:rPr>
            </w:pPr>
            <w:r w:rsidRPr="00EC069E">
              <w:rPr>
                <w:lang w:bidi="fr-FR"/>
              </w:rPr>
              <w:t xml:space="preserve">Une </w:t>
            </w:r>
            <w:hyperlink r:id="rId6" w:history="1">
              <w:r w:rsidRPr="00EC069E">
                <w:rPr>
                  <w:rStyle w:val="Hipervnculo"/>
                  <w:lang w:bidi="fr-FR"/>
                </w:rPr>
                <w:t>demande de licence commerciale de base</w:t>
              </w:r>
            </w:hyperlink>
            <w:r w:rsidRPr="00EC069E">
              <w:rPr>
                <w:lang w:bidi="fr-FR"/>
              </w:rPr>
              <w:t>,</w:t>
            </w:r>
          </w:p>
          <w:p w14:paraId="29E3A89A" w14:textId="77777777" w:rsidR="00AC530C" w:rsidRPr="00EC069E" w:rsidRDefault="00AC530C" w:rsidP="00AC530C">
            <w:pPr>
              <w:numPr>
                <w:ilvl w:val="0"/>
                <w:numId w:val="5"/>
              </w:numPr>
              <w:spacing w:after="160" w:line="259" w:lineRule="auto"/>
              <w:rPr>
                <w:lang w:val="en-US"/>
              </w:rPr>
            </w:pPr>
            <w:r w:rsidRPr="00EC069E">
              <w:rPr>
                <w:lang w:bidi="fr-FR"/>
              </w:rPr>
              <w:lastRenderedPageBreak/>
              <w:t>Un permis d’exploitation de site de vente pour un emplacement situé sur un trottoir ou tout autre permis d’exploitation requis,</w:t>
            </w:r>
          </w:p>
          <w:p w14:paraId="1DC7F1BE" w14:textId="77777777" w:rsidR="00AC530C" w:rsidRPr="00EC069E" w:rsidRDefault="00AC530C" w:rsidP="00AC530C">
            <w:pPr>
              <w:numPr>
                <w:ilvl w:val="0"/>
                <w:numId w:val="5"/>
              </w:numPr>
              <w:spacing w:after="160" w:line="259" w:lineRule="auto"/>
              <w:rPr>
                <w:lang w:val="en-US"/>
              </w:rPr>
            </w:pPr>
            <w:r w:rsidRPr="00EC069E">
              <w:rPr>
                <w:lang w:bidi="fr-FR"/>
              </w:rPr>
              <w:t>Une copie de chaque contravention non payée et le montant dû pour chaque contravention, et</w:t>
            </w:r>
          </w:p>
          <w:p w14:paraId="1A91B8AD" w14:textId="77777777" w:rsidR="00AC530C" w:rsidRPr="00EC069E" w:rsidRDefault="00AC530C" w:rsidP="00AC530C">
            <w:pPr>
              <w:numPr>
                <w:ilvl w:val="0"/>
                <w:numId w:val="5"/>
              </w:numPr>
              <w:spacing w:after="160" w:line="259" w:lineRule="auto"/>
              <w:rPr>
                <w:lang w:val="en-US"/>
              </w:rPr>
            </w:pPr>
            <w:r w:rsidRPr="00EC069E">
              <w:rPr>
                <w:lang w:bidi="fr-FR"/>
              </w:rPr>
              <w:t>un document de l’OTR attestant du montant minimum de la taxe impayée sur les ventes, des intérêts et des pénalités dus à l’OTR.</w:t>
            </w:r>
          </w:p>
          <w:p w14:paraId="036D1548" w14:textId="2F9DEBCB" w:rsidR="00AC530C" w:rsidRPr="00EC069E" w:rsidRDefault="00AC530C" w:rsidP="00AC530C">
            <w:pPr>
              <w:rPr>
                <w:lang w:val="en-US"/>
              </w:rPr>
            </w:pPr>
          </w:p>
        </w:tc>
      </w:tr>
      <w:tr w:rsidR="00AC530C" w:rsidRPr="00EC069E" w14:paraId="4B45D97C" w14:textId="77777777" w:rsidTr="003A76D3">
        <w:tc>
          <w:tcPr>
            <w:tcW w:w="4414" w:type="dxa"/>
          </w:tcPr>
          <w:p w14:paraId="62933B94" w14:textId="58FEEF22" w:rsidR="00AC530C" w:rsidRPr="00EC069E" w:rsidRDefault="00AC530C" w:rsidP="00AC530C">
            <w:pPr>
              <w:rPr>
                <w:lang w:val="en-US"/>
              </w:rPr>
            </w:pPr>
            <w:r w:rsidRPr="00EC069E">
              <w:rPr>
                <w:lang w:val="en-US" w:bidi="en-US"/>
              </w:rPr>
              <w:lastRenderedPageBreak/>
              <w:t>Please note that a street vendor does not need to submit a Clean Hands Certification if applying for the Amnesty Program. Once a complete application is submitted, DLCP will review to determine whether the applicant qualifies. If DLCP determines that an applicant qualifies for the Amnesty Program and minimum sales tax payments for the time period specified are owed, DLCP will notify OTR. OTR will then forgive the amount of unpaid minimum sales tax payments owed (subject to OTR’s rules and regulations). If you qualify for the Amnesty Program and you owe vending violation fines, DLCP will forgive the unpaid vending violation fines.</w:t>
            </w:r>
          </w:p>
        </w:tc>
        <w:tc>
          <w:tcPr>
            <w:tcW w:w="4414" w:type="dxa"/>
          </w:tcPr>
          <w:p w14:paraId="456192B4" w14:textId="63669698" w:rsidR="00AC530C" w:rsidRPr="00EC069E" w:rsidRDefault="00AC530C" w:rsidP="00AC530C">
            <w:pPr>
              <w:rPr>
                <w:lang w:val="en-US"/>
              </w:rPr>
            </w:pPr>
            <w:r w:rsidRPr="00EC069E">
              <w:rPr>
                <w:lang w:bidi="fr-FR"/>
              </w:rPr>
              <w:t>Veuillez noter qu’un vendeur ambulant n’a pas besoin de présenter une certification « Clean Hands » s’il soumet une demande dans le cadre du programme d’amnistie. Une fois qu’une demande complète est soumise, le DLCP l’examinera pour vérifier l’éligibilité du demandeur. Si le DLCP détermine qu’un demandeur remplit les conditions requises pour participer au programme d’amnistie et qu’il est redevable d’un montant minimum de taxe sur les ventes pour la période spécifiée, le DLCP en informera l’OTR. L’OTR renoncera alors au montant minimum de la taxe impayée sur les ventes (sous réserve des règles et règlements de l’OTR). Si vous remplissez les conditions requises pour participer au programme d’amnistie et que vous devez payer des amendes pour infraction à la réglementation sur les ventes, le DLCP annulera les amendes impayées pour cette infraction.</w:t>
            </w:r>
          </w:p>
        </w:tc>
      </w:tr>
      <w:tr w:rsidR="00AC530C" w:rsidRPr="00EC069E" w14:paraId="32FF0B49" w14:textId="77777777" w:rsidTr="003A76D3">
        <w:tc>
          <w:tcPr>
            <w:tcW w:w="4414" w:type="dxa"/>
          </w:tcPr>
          <w:p w14:paraId="0B3A5B31" w14:textId="77777777" w:rsidR="00AC530C" w:rsidRPr="00EC069E" w:rsidRDefault="00EC069E" w:rsidP="00AC530C">
            <w:pPr>
              <w:rPr>
                <w:b/>
                <w:bCs/>
              </w:rPr>
            </w:pPr>
            <w:hyperlink r:id="rId7" w:tooltip="Street Vending Amnesty Program FAQs" w:history="1">
              <w:r w:rsidR="00AC530C" w:rsidRPr="00EC069E">
                <w:rPr>
                  <w:rStyle w:val="Hipervnculo"/>
                  <w:b/>
                  <w:bCs/>
                </w:rPr>
                <w:t>Street Vending Amnesty Program FAQs</w:t>
              </w:r>
            </w:hyperlink>
          </w:p>
          <w:p w14:paraId="31D6986B" w14:textId="50F1B46A" w:rsidR="00AC530C" w:rsidRPr="00EC069E" w:rsidRDefault="00AC530C" w:rsidP="00AC530C">
            <w:pPr>
              <w:rPr>
                <w:lang w:val="en-US"/>
              </w:rPr>
            </w:pPr>
          </w:p>
        </w:tc>
        <w:tc>
          <w:tcPr>
            <w:tcW w:w="4414" w:type="dxa"/>
          </w:tcPr>
          <w:p w14:paraId="71AC2593" w14:textId="77777777" w:rsidR="00AC530C" w:rsidRPr="00EC069E" w:rsidRDefault="00EC069E" w:rsidP="00AC530C">
            <w:pPr>
              <w:rPr>
                <w:b/>
                <w:bCs/>
              </w:rPr>
            </w:pPr>
            <w:hyperlink r:id="rId8" w:tooltip="FAQ du programme d’amnistie relatif au commerce ambulant" w:history="1">
              <w:r w:rsidR="00AC530C" w:rsidRPr="00EC069E">
                <w:rPr>
                  <w:rStyle w:val="Hipervnculo"/>
                  <w:b/>
                  <w:lang w:bidi="fr-FR"/>
                </w:rPr>
                <w:t>FAQ du programme d’amnistie relatif au commerce ambulant</w:t>
              </w:r>
            </w:hyperlink>
          </w:p>
          <w:p w14:paraId="10A2074F" w14:textId="0068D64B" w:rsidR="00AC530C" w:rsidRPr="00EC069E" w:rsidRDefault="00AC530C" w:rsidP="00AC530C">
            <w:pPr>
              <w:rPr>
                <w:lang w:val="en-US"/>
              </w:rPr>
            </w:pPr>
          </w:p>
        </w:tc>
      </w:tr>
    </w:tbl>
    <w:p w14:paraId="564DF10E" w14:textId="77777777" w:rsidR="0099702B" w:rsidRPr="00EC069E" w:rsidRDefault="0099702B">
      <w:pPr>
        <w:rPr>
          <w:lang w:val="en-US"/>
        </w:rPr>
      </w:pPr>
    </w:p>
    <w:sectPr w:rsidR="0099702B" w:rsidRPr="00EC06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0FF"/>
    <w:multiLevelType w:val="multilevel"/>
    <w:tmpl w:val="962E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CC3DB1"/>
    <w:multiLevelType w:val="multilevel"/>
    <w:tmpl w:val="C124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A203C2"/>
    <w:multiLevelType w:val="multilevel"/>
    <w:tmpl w:val="BFC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E742EE"/>
    <w:multiLevelType w:val="multilevel"/>
    <w:tmpl w:val="ACA0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B154FC"/>
    <w:multiLevelType w:val="multilevel"/>
    <w:tmpl w:val="FE56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043229">
    <w:abstractNumId w:val="4"/>
  </w:num>
  <w:num w:numId="2" w16cid:durableId="279188538">
    <w:abstractNumId w:val="0"/>
  </w:num>
  <w:num w:numId="3" w16cid:durableId="1303579657">
    <w:abstractNumId w:val="2"/>
  </w:num>
  <w:num w:numId="4" w16cid:durableId="1075593227">
    <w:abstractNumId w:val="3"/>
  </w:num>
  <w:num w:numId="5" w16cid:durableId="981421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D3"/>
    <w:rsid w:val="003A76D3"/>
    <w:rsid w:val="0099702B"/>
    <w:rsid w:val="00A1664B"/>
    <w:rsid w:val="00AC530C"/>
    <w:rsid w:val="00DA09A4"/>
    <w:rsid w:val="00EC069E"/>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99087"/>
  <w15:chartTrackingRefBased/>
  <w15:docId w15:val="{1A1ED178-3D65-487F-B5F2-619168E6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7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A7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A76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A76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A76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A76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A76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A76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A76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76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A76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3A76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A76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A76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A76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A76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A76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A76D3"/>
    <w:rPr>
      <w:rFonts w:eastAsiaTheme="majorEastAsia" w:cstheme="majorBidi"/>
      <w:color w:val="272727" w:themeColor="text1" w:themeTint="D8"/>
    </w:rPr>
  </w:style>
  <w:style w:type="paragraph" w:styleId="Ttulo">
    <w:name w:val="Title"/>
    <w:basedOn w:val="Normal"/>
    <w:next w:val="Normal"/>
    <w:link w:val="TtuloCar"/>
    <w:uiPriority w:val="10"/>
    <w:qFormat/>
    <w:rsid w:val="003A7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76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A76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A76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A76D3"/>
    <w:pPr>
      <w:spacing w:before="160"/>
      <w:jc w:val="center"/>
    </w:pPr>
    <w:rPr>
      <w:i/>
      <w:iCs/>
      <w:color w:val="404040" w:themeColor="text1" w:themeTint="BF"/>
    </w:rPr>
  </w:style>
  <w:style w:type="character" w:customStyle="1" w:styleId="CitaCar">
    <w:name w:val="Cita Car"/>
    <w:basedOn w:val="Fuentedeprrafopredeter"/>
    <w:link w:val="Cita"/>
    <w:uiPriority w:val="29"/>
    <w:rsid w:val="003A76D3"/>
    <w:rPr>
      <w:i/>
      <w:iCs/>
      <w:color w:val="404040" w:themeColor="text1" w:themeTint="BF"/>
    </w:rPr>
  </w:style>
  <w:style w:type="paragraph" w:styleId="Prrafodelista">
    <w:name w:val="List Paragraph"/>
    <w:basedOn w:val="Normal"/>
    <w:uiPriority w:val="34"/>
    <w:qFormat/>
    <w:rsid w:val="003A76D3"/>
    <w:pPr>
      <w:ind w:left="720"/>
      <w:contextualSpacing/>
    </w:pPr>
  </w:style>
  <w:style w:type="character" w:styleId="nfasisintenso">
    <w:name w:val="Intense Emphasis"/>
    <w:basedOn w:val="Fuentedeprrafopredeter"/>
    <w:uiPriority w:val="21"/>
    <w:qFormat/>
    <w:rsid w:val="003A76D3"/>
    <w:rPr>
      <w:i/>
      <w:iCs/>
      <w:color w:val="0F4761" w:themeColor="accent1" w:themeShade="BF"/>
    </w:rPr>
  </w:style>
  <w:style w:type="paragraph" w:styleId="Citadestacada">
    <w:name w:val="Intense Quote"/>
    <w:basedOn w:val="Normal"/>
    <w:next w:val="Normal"/>
    <w:link w:val="CitadestacadaCar"/>
    <w:uiPriority w:val="30"/>
    <w:qFormat/>
    <w:rsid w:val="003A7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A76D3"/>
    <w:rPr>
      <w:i/>
      <w:iCs/>
      <w:color w:val="0F4761" w:themeColor="accent1" w:themeShade="BF"/>
    </w:rPr>
  </w:style>
  <w:style w:type="character" w:styleId="Referenciaintensa">
    <w:name w:val="Intense Reference"/>
    <w:basedOn w:val="Fuentedeprrafopredeter"/>
    <w:uiPriority w:val="32"/>
    <w:qFormat/>
    <w:rsid w:val="003A76D3"/>
    <w:rPr>
      <w:b/>
      <w:bCs/>
      <w:smallCaps/>
      <w:color w:val="0F4761" w:themeColor="accent1" w:themeShade="BF"/>
      <w:spacing w:val="5"/>
    </w:rPr>
  </w:style>
  <w:style w:type="table" w:styleId="Tablaconcuadrcula">
    <w:name w:val="Table Grid"/>
    <w:basedOn w:val="Tablanormal"/>
    <w:uiPriority w:val="39"/>
    <w:rsid w:val="003A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76D3"/>
    <w:rPr>
      <w:color w:val="467886" w:themeColor="hyperlink"/>
      <w:u w:val="single"/>
    </w:rPr>
  </w:style>
  <w:style w:type="character" w:styleId="Mencinsinresolver">
    <w:name w:val="Unresolved Mention"/>
    <w:basedOn w:val="Fuentedeprrafopredeter"/>
    <w:uiPriority w:val="99"/>
    <w:semiHidden/>
    <w:unhideWhenUsed/>
    <w:rsid w:val="003A7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8093">
      <w:bodyDiv w:val="1"/>
      <w:marLeft w:val="0"/>
      <w:marRight w:val="0"/>
      <w:marTop w:val="0"/>
      <w:marBottom w:val="0"/>
      <w:divBdr>
        <w:top w:val="none" w:sz="0" w:space="0" w:color="auto"/>
        <w:left w:val="none" w:sz="0" w:space="0" w:color="auto"/>
        <w:bottom w:val="none" w:sz="0" w:space="0" w:color="auto"/>
        <w:right w:val="none" w:sz="0" w:space="0" w:color="auto"/>
      </w:divBdr>
    </w:div>
    <w:div w:id="385495124">
      <w:bodyDiv w:val="1"/>
      <w:marLeft w:val="0"/>
      <w:marRight w:val="0"/>
      <w:marTop w:val="0"/>
      <w:marBottom w:val="0"/>
      <w:divBdr>
        <w:top w:val="none" w:sz="0" w:space="0" w:color="auto"/>
        <w:left w:val="none" w:sz="0" w:space="0" w:color="auto"/>
        <w:bottom w:val="none" w:sz="0" w:space="0" w:color="auto"/>
        <w:right w:val="none" w:sz="0" w:space="0" w:color="auto"/>
      </w:divBdr>
    </w:div>
    <w:div w:id="407577449">
      <w:bodyDiv w:val="1"/>
      <w:marLeft w:val="0"/>
      <w:marRight w:val="0"/>
      <w:marTop w:val="0"/>
      <w:marBottom w:val="0"/>
      <w:divBdr>
        <w:top w:val="none" w:sz="0" w:space="0" w:color="auto"/>
        <w:left w:val="none" w:sz="0" w:space="0" w:color="auto"/>
        <w:bottom w:val="none" w:sz="0" w:space="0" w:color="auto"/>
        <w:right w:val="none" w:sz="0" w:space="0" w:color="auto"/>
      </w:divBdr>
    </w:div>
    <w:div w:id="446319775">
      <w:bodyDiv w:val="1"/>
      <w:marLeft w:val="0"/>
      <w:marRight w:val="0"/>
      <w:marTop w:val="0"/>
      <w:marBottom w:val="0"/>
      <w:divBdr>
        <w:top w:val="none" w:sz="0" w:space="0" w:color="auto"/>
        <w:left w:val="none" w:sz="0" w:space="0" w:color="auto"/>
        <w:bottom w:val="none" w:sz="0" w:space="0" w:color="auto"/>
        <w:right w:val="none" w:sz="0" w:space="0" w:color="auto"/>
      </w:divBdr>
    </w:div>
    <w:div w:id="527839502">
      <w:bodyDiv w:val="1"/>
      <w:marLeft w:val="0"/>
      <w:marRight w:val="0"/>
      <w:marTop w:val="0"/>
      <w:marBottom w:val="0"/>
      <w:divBdr>
        <w:top w:val="none" w:sz="0" w:space="0" w:color="auto"/>
        <w:left w:val="none" w:sz="0" w:space="0" w:color="auto"/>
        <w:bottom w:val="none" w:sz="0" w:space="0" w:color="auto"/>
        <w:right w:val="none" w:sz="0" w:space="0" w:color="auto"/>
      </w:divBdr>
    </w:div>
    <w:div w:id="533421496">
      <w:bodyDiv w:val="1"/>
      <w:marLeft w:val="0"/>
      <w:marRight w:val="0"/>
      <w:marTop w:val="0"/>
      <w:marBottom w:val="0"/>
      <w:divBdr>
        <w:top w:val="none" w:sz="0" w:space="0" w:color="auto"/>
        <w:left w:val="none" w:sz="0" w:space="0" w:color="auto"/>
        <w:bottom w:val="none" w:sz="0" w:space="0" w:color="auto"/>
        <w:right w:val="none" w:sz="0" w:space="0" w:color="auto"/>
      </w:divBdr>
    </w:div>
    <w:div w:id="585654090">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652611734">
      <w:bodyDiv w:val="1"/>
      <w:marLeft w:val="0"/>
      <w:marRight w:val="0"/>
      <w:marTop w:val="0"/>
      <w:marBottom w:val="0"/>
      <w:divBdr>
        <w:top w:val="none" w:sz="0" w:space="0" w:color="auto"/>
        <w:left w:val="none" w:sz="0" w:space="0" w:color="auto"/>
        <w:bottom w:val="none" w:sz="0" w:space="0" w:color="auto"/>
        <w:right w:val="none" w:sz="0" w:space="0" w:color="auto"/>
      </w:divBdr>
    </w:div>
    <w:div w:id="875393493">
      <w:bodyDiv w:val="1"/>
      <w:marLeft w:val="0"/>
      <w:marRight w:val="0"/>
      <w:marTop w:val="0"/>
      <w:marBottom w:val="0"/>
      <w:divBdr>
        <w:top w:val="none" w:sz="0" w:space="0" w:color="auto"/>
        <w:left w:val="none" w:sz="0" w:space="0" w:color="auto"/>
        <w:bottom w:val="none" w:sz="0" w:space="0" w:color="auto"/>
        <w:right w:val="none" w:sz="0" w:space="0" w:color="auto"/>
      </w:divBdr>
    </w:div>
    <w:div w:id="924803312">
      <w:bodyDiv w:val="1"/>
      <w:marLeft w:val="0"/>
      <w:marRight w:val="0"/>
      <w:marTop w:val="0"/>
      <w:marBottom w:val="0"/>
      <w:divBdr>
        <w:top w:val="none" w:sz="0" w:space="0" w:color="auto"/>
        <w:left w:val="none" w:sz="0" w:space="0" w:color="auto"/>
        <w:bottom w:val="none" w:sz="0" w:space="0" w:color="auto"/>
        <w:right w:val="none" w:sz="0" w:space="0" w:color="auto"/>
      </w:divBdr>
    </w:div>
    <w:div w:id="927422258">
      <w:bodyDiv w:val="1"/>
      <w:marLeft w:val="0"/>
      <w:marRight w:val="0"/>
      <w:marTop w:val="0"/>
      <w:marBottom w:val="0"/>
      <w:divBdr>
        <w:top w:val="none" w:sz="0" w:space="0" w:color="auto"/>
        <w:left w:val="none" w:sz="0" w:space="0" w:color="auto"/>
        <w:bottom w:val="none" w:sz="0" w:space="0" w:color="auto"/>
        <w:right w:val="none" w:sz="0" w:space="0" w:color="auto"/>
      </w:divBdr>
      <w:divsChild>
        <w:div w:id="1040015287">
          <w:marLeft w:val="0"/>
          <w:marRight w:val="0"/>
          <w:marTop w:val="0"/>
          <w:marBottom w:val="0"/>
          <w:divBdr>
            <w:top w:val="none" w:sz="0" w:space="0" w:color="auto"/>
            <w:left w:val="none" w:sz="0" w:space="0" w:color="auto"/>
            <w:bottom w:val="none" w:sz="0" w:space="0" w:color="auto"/>
            <w:right w:val="none" w:sz="0" w:space="0" w:color="auto"/>
          </w:divBdr>
        </w:div>
        <w:div w:id="337510808">
          <w:marLeft w:val="0"/>
          <w:marRight w:val="0"/>
          <w:marTop w:val="0"/>
          <w:marBottom w:val="0"/>
          <w:divBdr>
            <w:top w:val="none" w:sz="0" w:space="0" w:color="auto"/>
            <w:left w:val="none" w:sz="0" w:space="0" w:color="auto"/>
            <w:bottom w:val="none" w:sz="0" w:space="0" w:color="auto"/>
            <w:right w:val="none" w:sz="0" w:space="0" w:color="auto"/>
          </w:divBdr>
        </w:div>
      </w:divsChild>
    </w:div>
    <w:div w:id="944118368">
      <w:bodyDiv w:val="1"/>
      <w:marLeft w:val="0"/>
      <w:marRight w:val="0"/>
      <w:marTop w:val="0"/>
      <w:marBottom w:val="0"/>
      <w:divBdr>
        <w:top w:val="none" w:sz="0" w:space="0" w:color="auto"/>
        <w:left w:val="none" w:sz="0" w:space="0" w:color="auto"/>
        <w:bottom w:val="none" w:sz="0" w:space="0" w:color="auto"/>
        <w:right w:val="none" w:sz="0" w:space="0" w:color="auto"/>
      </w:divBdr>
    </w:div>
    <w:div w:id="1055661541">
      <w:bodyDiv w:val="1"/>
      <w:marLeft w:val="0"/>
      <w:marRight w:val="0"/>
      <w:marTop w:val="0"/>
      <w:marBottom w:val="0"/>
      <w:divBdr>
        <w:top w:val="none" w:sz="0" w:space="0" w:color="auto"/>
        <w:left w:val="none" w:sz="0" w:space="0" w:color="auto"/>
        <w:bottom w:val="none" w:sz="0" w:space="0" w:color="auto"/>
        <w:right w:val="none" w:sz="0" w:space="0" w:color="auto"/>
      </w:divBdr>
    </w:div>
    <w:div w:id="1057433191">
      <w:bodyDiv w:val="1"/>
      <w:marLeft w:val="0"/>
      <w:marRight w:val="0"/>
      <w:marTop w:val="0"/>
      <w:marBottom w:val="0"/>
      <w:divBdr>
        <w:top w:val="none" w:sz="0" w:space="0" w:color="auto"/>
        <w:left w:val="none" w:sz="0" w:space="0" w:color="auto"/>
        <w:bottom w:val="none" w:sz="0" w:space="0" w:color="auto"/>
        <w:right w:val="none" w:sz="0" w:space="0" w:color="auto"/>
      </w:divBdr>
    </w:div>
    <w:div w:id="1162967485">
      <w:bodyDiv w:val="1"/>
      <w:marLeft w:val="0"/>
      <w:marRight w:val="0"/>
      <w:marTop w:val="0"/>
      <w:marBottom w:val="0"/>
      <w:divBdr>
        <w:top w:val="none" w:sz="0" w:space="0" w:color="auto"/>
        <w:left w:val="none" w:sz="0" w:space="0" w:color="auto"/>
        <w:bottom w:val="none" w:sz="0" w:space="0" w:color="auto"/>
        <w:right w:val="none" w:sz="0" w:space="0" w:color="auto"/>
      </w:divBdr>
      <w:divsChild>
        <w:div w:id="1968583976">
          <w:marLeft w:val="0"/>
          <w:marRight w:val="0"/>
          <w:marTop w:val="0"/>
          <w:marBottom w:val="0"/>
          <w:divBdr>
            <w:top w:val="none" w:sz="0" w:space="0" w:color="auto"/>
            <w:left w:val="none" w:sz="0" w:space="0" w:color="auto"/>
            <w:bottom w:val="none" w:sz="0" w:space="0" w:color="auto"/>
            <w:right w:val="none" w:sz="0" w:space="0" w:color="auto"/>
          </w:divBdr>
        </w:div>
        <w:div w:id="1511673766">
          <w:marLeft w:val="0"/>
          <w:marRight w:val="0"/>
          <w:marTop w:val="0"/>
          <w:marBottom w:val="0"/>
          <w:divBdr>
            <w:top w:val="none" w:sz="0" w:space="0" w:color="auto"/>
            <w:left w:val="none" w:sz="0" w:space="0" w:color="auto"/>
            <w:bottom w:val="none" w:sz="0" w:space="0" w:color="auto"/>
            <w:right w:val="none" w:sz="0" w:space="0" w:color="auto"/>
          </w:divBdr>
        </w:div>
      </w:divsChild>
    </w:div>
    <w:div w:id="1180193579">
      <w:bodyDiv w:val="1"/>
      <w:marLeft w:val="0"/>
      <w:marRight w:val="0"/>
      <w:marTop w:val="0"/>
      <w:marBottom w:val="0"/>
      <w:divBdr>
        <w:top w:val="none" w:sz="0" w:space="0" w:color="auto"/>
        <w:left w:val="none" w:sz="0" w:space="0" w:color="auto"/>
        <w:bottom w:val="none" w:sz="0" w:space="0" w:color="auto"/>
        <w:right w:val="none" w:sz="0" w:space="0" w:color="auto"/>
      </w:divBdr>
    </w:div>
    <w:div w:id="1388067337">
      <w:bodyDiv w:val="1"/>
      <w:marLeft w:val="0"/>
      <w:marRight w:val="0"/>
      <w:marTop w:val="0"/>
      <w:marBottom w:val="0"/>
      <w:divBdr>
        <w:top w:val="none" w:sz="0" w:space="0" w:color="auto"/>
        <w:left w:val="none" w:sz="0" w:space="0" w:color="auto"/>
        <w:bottom w:val="none" w:sz="0" w:space="0" w:color="auto"/>
        <w:right w:val="none" w:sz="0" w:space="0" w:color="auto"/>
      </w:divBdr>
    </w:div>
    <w:div w:id="1506507759">
      <w:bodyDiv w:val="1"/>
      <w:marLeft w:val="0"/>
      <w:marRight w:val="0"/>
      <w:marTop w:val="0"/>
      <w:marBottom w:val="0"/>
      <w:divBdr>
        <w:top w:val="none" w:sz="0" w:space="0" w:color="auto"/>
        <w:left w:val="none" w:sz="0" w:space="0" w:color="auto"/>
        <w:bottom w:val="none" w:sz="0" w:space="0" w:color="auto"/>
        <w:right w:val="none" w:sz="0" w:space="0" w:color="auto"/>
      </w:divBdr>
    </w:div>
    <w:div w:id="1530414150">
      <w:bodyDiv w:val="1"/>
      <w:marLeft w:val="0"/>
      <w:marRight w:val="0"/>
      <w:marTop w:val="0"/>
      <w:marBottom w:val="0"/>
      <w:divBdr>
        <w:top w:val="none" w:sz="0" w:space="0" w:color="auto"/>
        <w:left w:val="none" w:sz="0" w:space="0" w:color="auto"/>
        <w:bottom w:val="none" w:sz="0" w:space="0" w:color="auto"/>
        <w:right w:val="none" w:sz="0" w:space="0" w:color="auto"/>
      </w:divBdr>
    </w:div>
    <w:div w:id="1694309304">
      <w:bodyDiv w:val="1"/>
      <w:marLeft w:val="0"/>
      <w:marRight w:val="0"/>
      <w:marTop w:val="0"/>
      <w:marBottom w:val="0"/>
      <w:divBdr>
        <w:top w:val="none" w:sz="0" w:space="0" w:color="auto"/>
        <w:left w:val="none" w:sz="0" w:space="0" w:color="auto"/>
        <w:bottom w:val="none" w:sz="0" w:space="0" w:color="auto"/>
        <w:right w:val="none" w:sz="0" w:space="0" w:color="auto"/>
      </w:divBdr>
    </w:div>
    <w:div w:id="1763792801">
      <w:bodyDiv w:val="1"/>
      <w:marLeft w:val="0"/>
      <w:marRight w:val="0"/>
      <w:marTop w:val="0"/>
      <w:marBottom w:val="0"/>
      <w:divBdr>
        <w:top w:val="none" w:sz="0" w:space="0" w:color="auto"/>
        <w:left w:val="none" w:sz="0" w:space="0" w:color="auto"/>
        <w:bottom w:val="none" w:sz="0" w:space="0" w:color="auto"/>
        <w:right w:val="none" w:sz="0" w:space="0" w:color="auto"/>
      </w:divBdr>
    </w:div>
    <w:div w:id="1833718321">
      <w:bodyDiv w:val="1"/>
      <w:marLeft w:val="0"/>
      <w:marRight w:val="0"/>
      <w:marTop w:val="0"/>
      <w:marBottom w:val="0"/>
      <w:divBdr>
        <w:top w:val="none" w:sz="0" w:space="0" w:color="auto"/>
        <w:left w:val="none" w:sz="0" w:space="0" w:color="auto"/>
        <w:bottom w:val="none" w:sz="0" w:space="0" w:color="auto"/>
        <w:right w:val="none" w:sz="0" w:space="0" w:color="auto"/>
      </w:divBdr>
    </w:div>
    <w:div w:id="2027169483">
      <w:bodyDiv w:val="1"/>
      <w:marLeft w:val="0"/>
      <w:marRight w:val="0"/>
      <w:marTop w:val="0"/>
      <w:marBottom w:val="0"/>
      <w:divBdr>
        <w:top w:val="none" w:sz="0" w:space="0" w:color="auto"/>
        <w:left w:val="none" w:sz="0" w:space="0" w:color="auto"/>
        <w:bottom w:val="none" w:sz="0" w:space="0" w:color="auto"/>
        <w:right w:val="none" w:sz="0" w:space="0" w:color="auto"/>
      </w:divBdr>
    </w:div>
    <w:div w:id="20670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cp.dc.gov/node/1683071" TargetMode="External"/><Relationship Id="rId3" Type="http://schemas.openxmlformats.org/officeDocument/2006/relationships/settings" Target="settings.xml"/><Relationship Id="rId7" Type="http://schemas.openxmlformats.org/officeDocument/2006/relationships/hyperlink" Target="https://dlcp.dc.gov/node/16830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ta.business.dc.gov/" TargetMode="External"/><Relationship Id="rId5" Type="http://schemas.openxmlformats.org/officeDocument/2006/relationships/hyperlink" Target="http://beta.business.dc.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852</Words>
  <Characters>4527</Characters>
  <Application>Microsoft Office Word</Application>
  <DocSecurity>0</DocSecurity>
  <Lines>161</Lines>
  <Paragraphs>37</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Hernandez</dc:creator>
  <cp:keywords/>
  <dc:description/>
  <cp:lastModifiedBy>ACSI Translations</cp:lastModifiedBy>
  <cp:revision>4</cp:revision>
  <dcterms:created xsi:type="dcterms:W3CDTF">2023-12-18T17:52:00Z</dcterms:created>
  <dcterms:modified xsi:type="dcterms:W3CDTF">2023-12-19T18:24:00Z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dfea28a6-d4a5-4913-bd67-4640324431ad</vt:lpwstr>
  </property>
</Properties>
</file>