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bidiVisual/>
        <w:tblW w:w="0" w:type="auto"/>
        <w:tblLook w:val="04A0" w:firstRow="1" w:lastRow="0" w:firstColumn="1" w:lastColumn="0" w:noHBand="0" w:noVBand="1"/>
      </w:tblPr>
      <w:tblGrid>
        <w:gridCol w:w="4414"/>
        <w:gridCol w:w="4414"/>
      </w:tblGrid>
      <w:tr w:rsidR="003A76D3" w:rsidRPr="00F75465" w14:paraId="362757DC" w14:textId="77777777" w:rsidTr="003A76D3">
        <w:tc>
          <w:tcPr>
            <w:tcW w:w="4414" w:type="dxa"/>
          </w:tcPr>
          <w:p w14:paraId="5DAEE6CC" w14:textId="62F33611" w:rsidR="003A76D3" w:rsidRPr="00F75465" w:rsidRDefault="00F75465">
            <w:pPr>
              <w:bidi/>
            </w:pPr>
            <w:r>
              <w:rPr>
                <w:lang w:val="en-US" w:eastAsia="ar" w:bidi="en-US"/>
              </w:rPr>
              <w:t>ENGLISH</w:t>
            </w:r>
          </w:p>
        </w:tc>
        <w:tc>
          <w:tcPr>
            <w:tcW w:w="4414" w:type="dxa"/>
          </w:tcPr>
          <w:p w14:paraId="19D9087D" w14:textId="25126CFB" w:rsidR="003A76D3" w:rsidRPr="00F75465" w:rsidRDefault="00F75465">
            <w:pPr>
              <w:bidi/>
            </w:pPr>
            <w:r>
              <w:rPr>
                <w:lang w:val="en-US" w:eastAsia="ar" w:bidi="en-US"/>
              </w:rPr>
              <w:t>ARABIC</w:t>
            </w:r>
          </w:p>
        </w:tc>
      </w:tr>
      <w:tr w:rsidR="00AC530C" w:rsidRPr="00F75465" w14:paraId="0CCC58AC" w14:textId="77777777" w:rsidTr="003A76D3">
        <w:tc>
          <w:tcPr>
            <w:tcW w:w="4414" w:type="dxa"/>
          </w:tcPr>
          <w:p w14:paraId="21BD2BE4" w14:textId="77777777" w:rsidR="00AC530C" w:rsidRPr="00F75465" w:rsidRDefault="00AC530C" w:rsidP="00AC530C">
            <w:pPr>
              <w:bidi/>
              <w:rPr>
                <w:b/>
                <w:bCs/>
              </w:rPr>
            </w:pPr>
            <w:r w:rsidRPr="00F75465">
              <w:rPr>
                <w:b/>
                <w:bCs/>
              </w:rPr>
              <w:t>Street Vending Amnesty Program</w:t>
            </w:r>
          </w:p>
          <w:p w14:paraId="1E627275" w14:textId="223EBA81" w:rsidR="00AC530C" w:rsidRPr="00F75465" w:rsidRDefault="00AC530C" w:rsidP="00AC530C">
            <w:pPr>
              <w:bidi/>
              <w:rPr>
                <w:lang w:val="en-US"/>
              </w:rPr>
            </w:pPr>
          </w:p>
        </w:tc>
        <w:tc>
          <w:tcPr>
            <w:tcW w:w="4414" w:type="dxa"/>
          </w:tcPr>
          <w:p w14:paraId="6E7AA440" w14:textId="77777777" w:rsidR="00AC530C" w:rsidRPr="00F75465" w:rsidRDefault="00AC530C" w:rsidP="00AC530C">
            <w:pPr>
              <w:bidi/>
              <w:rPr>
                <w:b/>
                <w:bCs/>
              </w:rPr>
            </w:pPr>
            <w:r w:rsidRPr="00F75465">
              <w:rPr>
                <w:b/>
                <w:bCs/>
                <w:rtl/>
                <w:lang w:eastAsia="ar" w:bidi="ar-MA"/>
              </w:rPr>
              <w:t>برنامج العفو الخاص بالبيع في الشوارع</w:t>
            </w:r>
          </w:p>
          <w:p w14:paraId="41CDBCAF" w14:textId="2CDFD6C3" w:rsidR="00AC530C" w:rsidRPr="00F75465" w:rsidRDefault="00AC530C" w:rsidP="00AC530C">
            <w:pPr>
              <w:bidi/>
              <w:rPr>
                <w:lang w:val="en-US"/>
              </w:rPr>
            </w:pPr>
          </w:p>
        </w:tc>
      </w:tr>
      <w:tr w:rsidR="00AC530C" w:rsidRPr="00F75465" w14:paraId="343FB66C" w14:textId="77777777" w:rsidTr="003A76D3">
        <w:tc>
          <w:tcPr>
            <w:tcW w:w="4414" w:type="dxa"/>
          </w:tcPr>
          <w:p w14:paraId="20C39430" w14:textId="77777777" w:rsidR="00AC530C" w:rsidRPr="00F75465" w:rsidRDefault="00AC530C" w:rsidP="00AC530C">
            <w:pPr>
              <w:bidi/>
              <w:rPr>
                <w:b/>
                <w:bCs/>
              </w:rPr>
            </w:pPr>
            <w:r w:rsidRPr="00F75465">
              <w:rPr>
                <w:b/>
                <w:bCs/>
              </w:rPr>
              <w:t>Street Vending Amnesty Program</w:t>
            </w:r>
          </w:p>
          <w:p w14:paraId="167282D2" w14:textId="2F9E6BDB" w:rsidR="00AC530C" w:rsidRPr="00F75465" w:rsidRDefault="00AC530C" w:rsidP="00AC530C">
            <w:pPr>
              <w:bidi/>
              <w:rPr>
                <w:lang w:val="en-US"/>
              </w:rPr>
            </w:pPr>
          </w:p>
        </w:tc>
        <w:tc>
          <w:tcPr>
            <w:tcW w:w="4414" w:type="dxa"/>
          </w:tcPr>
          <w:p w14:paraId="71FC25D4" w14:textId="77777777" w:rsidR="00AC530C" w:rsidRPr="00F75465" w:rsidRDefault="00AC530C" w:rsidP="00AC530C">
            <w:pPr>
              <w:bidi/>
              <w:rPr>
                <w:b/>
                <w:bCs/>
              </w:rPr>
            </w:pPr>
            <w:r w:rsidRPr="00F75465">
              <w:rPr>
                <w:b/>
                <w:bCs/>
                <w:rtl/>
                <w:lang w:eastAsia="ar" w:bidi="ar-MA"/>
              </w:rPr>
              <w:t>برنامج العفو الخاص بالبيع في الشوارع</w:t>
            </w:r>
          </w:p>
          <w:p w14:paraId="42117EF1" w14:textId="5B859B29" w:rsidR="00AC530C" w:rsidRPr="00F75465" w:rsidRDefault="00AC530C" w:rsidP="00AC530C">
            <w:pPr>
              <w:bidi/>
              <w:rPr>
                <w:lang w:val="en-US"/>
              </w:rPr>
            </w:pPr>
          </w:p>
        </w:tc>
      </w:tr>
      <w:tr w:rsidR="00AC530C" w:rsidRPr="00F75465" w14:paraId="3E14EBB2" w14:textId="77777777" w:rsidTr="003A76D3">
        <w:tc>
          <w:tcPr>
            <w:tcW w:w="4414" w:type="dxa"/>
          </w:tcPr>
          <w:p w14:paraId="0B462308" w14:textId="409CABAA" w:rsidR="00AC530C" w:rsidRPr="00F75465" w:rsidRDefault="00AC530C" w:rsidP="00AC530C">
            <w:pPr>
              <w:bidi/>
              <w:rPr>
                <w:lang w:val="en-US"/>
              </w:rPr>
            </w:pPr>
            <w:r w:rsidRPr="00F75465">
              <w:rPr>
                <w:lang w:val="en-US" w:eastAsia="en-US" w:bidi="en-US"/>
              </w:rPr>
              <w:t>Starting October 1, 2023, DLCP will administer the Street Vending Amnesty Program (the “Amnesty Program”) pursuant to D.C. Act 25-94. The Amnesty Program will be available to applicants for 5 years. The purpose of the Amnesty Program is to allow street vendors with certain debt to qualify to obtain a Vending License. Additionally, a street vendor who qualifies for the Amnesty Program will also be eligible to have this unpaid debt forgiven.</w:t>
            </w:r>
          </w:p>
        </w:tc>
        <w:tc>
          <w:tcPr>
            <w:tcW w:w="4414" w:type="dxa"/>
          </w:tcPr>
          <w:p w14:paraId="1CBA9C8F" w14:textId="71443C82" w:rsidR="00AC530C" w:rsidRPr="00F75465" w:rsidRDefault="00AC530C" w:rsidP="00AC530C">
            <w:pPr>
              <w:bidi/>
              <w:rPr>
                <w:lang w:val="en-US"/>
              </w:rPr>
            </w:pPr>
            <w:r w:rsidRPr="00F75465">
              <w:rPr>
                <w:rtl/>
                <w:lang w:eastAsia="ar" w:bidi="ar-MA"/>
              </w:rPr>
              <w:t xml:space="preserve">اعتبارًا من 1 أكتوبر 2023، ستدير </w:t>
            </w:r>
            <w:r w:rsidRPr="00F75465">
              <w:rPr>
                <w:lang w:val="en-US" w:eastAsia="ar" w:bidi="en-US"/>
              </w:rPr>
              <w:t>DLCP</w:t>
            </w:r>
            <w:r w:rsidRPr="00F75465">
              <w:rPr>
                <w:rtl/>
                <w:lang w:eastAsia="ar" w:bidi="ar-MA"/>
              </w:rPr>
              <w:t xml:space="preserve"> برنامج العفو الخاص بالبيع في الشوارع ("برنامج العفو") وفقًا لقانون واشنطن العاصمة رقم 25-94. سيكون برنامج العفو متاحًا لمقدمي الطلبات لمدة 5 سنوات. الغرض من برنامج العفو هو السماح للبائعين المتجولين الذين لديهم ديون معينة بالتأهل للحصول على رخصة البيع. بالإضافة إلى ذلك، سيكون البائع المتجول المؤهل لبرنامج العفو مؤهلاً أيضًا للإعفاء من هذا الدين غير المدفوع.</w:t>
            </w:r>
          </w:p>
        </w:tc>
      </w:tr>
      <w:tr w:rsidR="00AC530C" w:rsidRPr="00F75465" w14:paraId="6E57F8A5" w14:textId="77777777" w:rsidTr="003A76D3">
        <w:tc>
          <w:tcPr>
            <w:tcW w:w="4414" w:type="dxa"/>
          </w:tcPr>
          <w:p w14:paraId="43A2EC06" w14:textId="063633CF" w:rsidR="00AC530C" w:rsidRPr="00F75465" w:rsidRDefault="00AC530C" w:rsidP="00AC530C">
            <w:pPr>
              <w:bidi/>
              <w:rPr>
                <w:lang w:val="en-US"/>
              </w:rPr>
            </w:pPr>
            <w:r w:rsidRPr="00F75465">
              <w:rPr>
                <w:lang w:val="en-US" w:eastAsia="en-US" w:bidi="en-US"/>
              </w:rPr>
              <w:t>A street vendor may qualify for this program only if they have debt incurred between January 1, 2010 and September 30, 2023 for the following:</w:t>
            </w:r>
          </w:p>
        </w:tc>
        <w:tc>
          <w:tcPr>
            <w:tcW w:w="4414" w:type="dxa"/>
          </w:tcPr>
          <w:p w14:paraId="5C456C48" w14:textId="61D2493A" w:rsidR="00AC530C" w:rsidRPr="00F75465" w:rsidRDefault="00AC530C" w:rsidP="00AC530C">
            <w:pPr>
              <w:bidi/>
              <w:rPr>
                <w:lang w:val="en-US"/>
              </w:rPr>
            </w:pPr>
            <w:r w:rsidRPr="00F75465">
              <w:rPr>
                <w:rtl/>
                <w:lang w:eastAsia="ar" w:bidi="ar-MA"/>
              </w:rPr>
              <w:t>قد يتأهل البائع المتجول لهذا البرنامج فقط إذا كان عليه ديون متراكمة في الفترة ما بين 1 يناير 2010 و30 سبتمبر 2023 للأسباب التالية:</w:t>
            </w:r>
          </w:p>
        </w:tc>
      </w:tr>
      <w:tr w:rsidR="00AC530C" w:rsidRPr="00F75465" w14:paraId="7526C629" w14:textId="77777777" w:rsidTr="003A76D3">
        <w:tc>
          <w:tcPr>
            <w:tcW w:w="4414" w:type="dxa"/>
          </w:tcPr>
          <w:p w14:paraId="4873DBE6" w14:textId="77777777" w:rsidR="00AC530C" w:rsidRPr="00F75465" w:rsidRDefault="00AC530C" w:rsidP="00AC530C">
            <w:pPr>
              <w:bidi/>
              <w:spacing w:after="160" w:line="259" w:lineRule="auto"/>
              <w:rPr>
                <w:lang w:val="en-US"/>
              </w:rPr>
            </w:pPr>
            <w:r w:rsidRPr="00F75465">
              <w:rPr>
                <w:lang w:val="en-US" w:eastAsia="en-US" w:bidi="en-US"/>
              </w:rPr>
              <w:t>Vending violation fines issued by DLCP [or its predecessor the Department of Consumer and Regulatory Affairs (“DCRA”)], and/or</w:t>
            </w:r>
          </w:p>
          <w:p w14:paraId="3FEAC0C3" w14:textId="1FC7D4C8" w:rsidR="00AC530C" w:rsidRPr="00F75465" w:rsidRDefault="00AC530C" w:rsidP="00AC530C">
            <w:pPr>
              <w:bidi/>
              <w:spacing w:after="160" w:line="259" w:lineRule="auto"/>
              <w:rPr>
                <w:lang w:val="en-US"/>
              </w:rPr>
            </w:pPr>
            <w:r w:rsidRPr="00F75465">
              <w:rPr>
                <w:lang w:val="en-US" w:eastAsia="en-US" w:bidi="en-US"/>
              </w:rPr>
              <w:t>Minimum sales tax payments issued by the Office of Tax and Revenue (OTR) pursuant to D.C. Official Code  § 47-2002.01.</w:t>
            </w:r>
          </w:p>
        </w:tc>
        <w:tc>
          <w:tcPr>
            <w:tcW w:w="4414" w:type="dxa"/>
          </w:tcPr>
          <w:p w14:paraId="5B50159A" w14:textId="77777777" w:rsidR="00AC530C" w:rsidRPr="00F75465" w:rsidRDefault="00AC530C" w:rsidP="00AC530C">
            <w:pPr>
              <w:bidi/>
              <w:spacing w:after="160" w:line="259" w:lineRule="auto"/>
              <w:rPr>
                <w:lang w:val="en-US"/>
              </w:rPr>
            </w:pPr>
            <w:r w:rsidRPr="00F75465">
              <w:rPr>
                <w:rtl/>
                <w:lang w:eastAsia="ar" w:bidi="ar-MA"/>
              </w:rPr>
              <w:t xml:space="preserve">غرامات مخالفات البيع الصادرة عن </w:t>
            </w:r>
            <w:r w:rsidRPr="00F75465">
              <w:rPr>
                <w:lang w:val="en-US" w:eastAsia="ar" w:bidi="en-US"/>
              </w:rPr>
              <w:t>DLCP</w:t>
            </w:r>
            <w:r w:rsidRPr="00F75465">
              <w:rPr>
                <w:rtl/>
                <w:lang w:eastAsia="ar" w:bidi="ar-MA"/>
              </w:rPr>
              <w:t xml:space="preserve"> [أو سابقتها إدارة شؤون المستهلك والشؤون التنظيمية ("</w:t>
            </w:r>
            <w:r w:rsidRPr="00F75465">
              <w:rPr>
                <w:lang w:val="en-US" w:eastAsia="ar" w:bidi="en-US"/>
              </w:rPr>
              <w:t>DCRA</w:t>
            </w:r>
            <w:r w:rsidRPr="00F75465">
              <w:rPr>
                <w:rtl/>
                <w:lang w:eastAsia="ar" w:bidi="ar-MA"/>
              </w:rPr>
              <w:t>")]، و/أو</w:t>
            </w:r>
          </w:p>
          <w:p w14:paraId="2BF1C531" w14:textId="2A59A57D" w:rsidR="00AC530C" w:rsidRPr="00F75465" w:rsidRDefault="00AC530C" w:rsidP="00AC530C">
            <w:pPr>
              <w:bidi/>
              <w:rPr>
                <w:lang w:val="en-US"/>
              </w:rPr>
            </w:pPr>
            <w:r w:rsidRPr="00F75465">
              <w:rPr>
                <w:rtl/>
                <w:lang w:eastAsia="ar" w:bidi="ar-MA"/>
              </w:rPr>
              <w:t>الحد الأدنى من مدفوعات ضريبة المبيعات الصادرة عن مكتب الضرائب والإيرادات (</w:t>
            </w:r>
            <w:r w:rsidRPr="00F75465">
              <w:rPr>
                <w:lang w:val="en-US" w:eastAsia="ar" w:bidi="en-US"/>
              </w:rPr>
              <w:t>OTR</w:t>
            </w:r>
            <w:r w:rsidRPr="00F75465">
              <w:rPr>
                <w:rtl/>
                <w:lang w:eastAsia="ar" w:bidi="ar-MA"/>
              </w:rPr>
              <w:t xml:space="preserve">) وفقًا للقانون الرسمي لواشنطن العاصمة </w:t>
            </w:r>
            <w:r w:rsidRPr="00F75465">
              <w:rPr>
                <w:lang w:val="en-US" w:eastAsia="ar" w:bidi="en-US"/>
              </w:rPr>
              <w:t>‎</w:t>
            </w:r>
            <w:r w:rsidRPr="00F75465">
              <w:rPr>
                <w:rtl/>
                <w:lang w:eastAsia="ar" w:bidi="ar-MA"/>
              </w:rPr>
              <w:t>§ 47-2002.01.</w:t>
            </w:r>
          </w:p>
        </w:tc>
      </w:tr>
      <w:tr w:rsidR="00AC530C" w:rsidRPr="00F75465" w14:paraId="2030C248" w14:textId="77777777" w:rsidTr="003A76D3">
        <w:tc>
          <w:tcPr>
            <w:tcW w:w="4414" w:type="dxa"/>
          </w:tcPr>
          <w:p w14:paraId="6B8CF92B" w14:textId="63B0A24C" w:rsidR="00AC530C" w:rsidRPr="00F75465" w:rsidRDefault="00AC530C" w:rsidP="00AC530C">
            <w:pPr>
              <w:bidi/>
              <w:rPr>
                <w:lang w:val="en-US"/>
              </w:rPr>
            </w:pPr>
            <w:r w:rsidRPr="00F75465">
              <w:rPr>
                <w:lang w:val="en-US" w:eastAsia="en-US" w:bidi="en-US"/>
              </w:rPr>
              <w:t>If there is any other debt owed, other than the debt specified above, then the street vendor will not qualify for the Amnesty Program. A street vendor must resolve any other debt owed before they can qualify for the Amnesty Program.</w:t>
            </w:r>
          </w:p>
        </w:tc>
        <w:tc>
          <w:tcPr>
            <w:tcW w:w="4414" w:type="dxa"/>
          </w:tcPr>
          <w:p w14:paraId="1A3FE494" w14:textId="4C2E7F81" w:rsidR="00AC530C" w:rsidRPr="00F75465" w:rsidRDefault="00AC530C" w:rsidP="00AC530C">
            <w:pPr>
              <w:bidi/>
              <w:rPr>
                <w:lang w:val="en-US"/>
              </w:rPr>
            </w:pPr>
            <w:r w:rsidRPr="00F75465">
              <w:rPr>
                <w:rtl/>
                <w:lang w:eastAsia="ar" w:bidi="ar-MA"/>
              </w:rPr>
              <w:t>إذا كان هناك أي دين آخر مستحق، بخلاف الدين المحدد أعلاه، فلن يكون البائع المتجول مؤهلاً لبرنامج العفو. يتعين على البائع المتجول تسوية أي ديون أخرى مستحقة قبل أن يتمكن من التأهل لبرنامج العفو.</w:t>
            </w:r>
          </w:p>
        </w:tc>
      </w:tr>
      <w:tr w:rsidR="00AC530C" w:rsidRPr="00F75465" w14:paraId="0CB1B919" w14:textId="77777777" w:rsidTr="003A76D3">
        <w:tc>
          <w:tcPr>
            <w:tcW w:w="4414" w:type="dxa"/>
          </w:tcPr>
          <w:p w14:paraId="099A06B2" w14:textId="163A8638" w:rsidR="00AC530C" w:rsidRPr="00F75465" w:rsidRDefault="00AC530C" w:rsidP="00AC530C">
            <w:pPr>
              <w:bidi/>
              <w:rPr>
                <w:lang w:val="en-US"/>
              </w:rPr>
            </w:pPr>
            <w:r w:rsidRPr="00F75465">
              <w:rPr>
                <w:lang w:val="en-US" w:eastAsia="en-US" w:bidi="en-US"/>
              </w:rPr>
              <w:t>To apply for the Amnesty Program, a street vendor must submit all of the following documents to DLCP:</w:t>
            </w:r>
          </w:p>
        </w:tc>
        <w:tc>
          <w:tcPr>
            <w:tcW w:w="4414" w:type="dxa"/>
          </w:tcPr>
          <w:p w14:paraId="74FF9987" w14:textId="2EDE6290" w:rsidR="00AC530C" w:rsidRPr="00F75465" w:rsidRDefault="00AC530C" w:rsidP="00AC530C">
            <w:pPr>
              <w:bidi/>
              <w:rPr>
                <w:lang w:val="en-US"/>
              </w:rPr>
            </w:pPr>
            <w:r w:rsidRPr="00F75465">
              <w:rPr>
                <w:rtl/>
                <w:lang w:eastAsia="ar" w:bidi="ar-MA"/>
              </w:rPr>
              <w:t xml:space="preserve">للتقديم في برنامج العفو، يتعين على البائع المتجول تقديم جميع المستندات التالية إلى </w:t>
            </w:r>
            <w:r w:rsidRPr="00F75465">
              <w:rPr>
                <w:lang w:val="en-US" w:eastAsia="ar" w:bidi="en-US"/>
              </w:rPr>
              <w:t>DLCP</w:t>
            </w:r>
            <w:r w:rsidRPr="00F75465">
              <w:rPr>
                <w:rtl/>
                <w:lang w:eastAsia="ar" w:bidi="ar-MA"/>
              </w:rPr>
              <w:t>:</w:t>
            </w:r>
          </w:p>
        </w:tc>
      </w:tr>
      <w:tr w:rsidR="00AC530C" w:rsidRPr="00F75465" w14:paraId="0AD6260E" w14:textId="77777777" w:rsidTr="003A76D3">
        <w:tc>
          <w:tcPr>
            <w:tcW w:w="4414" w:type="dxa"/>
          </w:tcPr>
          <w:p w14:paraId="3FF36D7E" w14:textId="77777777" w:rsidR="00AC530C" w:rsidRPr="00F75465" w:rsidRDefault="00AC530C" w:rsidP="00AC530C">
            <w:pPr>
              <w:numPr>
                <w:ilvl w:val="0"/>
                <w:numId w:val="5"/>
              </w:numPr>
              <w:bidi/>
              <w:rPr>
                <w:lang w:val="en-US"/>
              </w:rPr>
            </w:pPr>
            <w:r w:rsidRPr="00F75465">
              <w:rPr>
                <w:lang w:val="en-US" w:eastAsia="en-US" w:bidi="en-US"/>
              </w:rPr>
              <w:t>A </w:t>
            </w:r>
            <w:hyperlink r:id="rId5" w:history="1">
              <w:r w:rsidRPr="00F75465">
                <w:rPr>
                  <w:rStyle w:val="Hipervnculo"/>
                  <w:lang w:val="en-US" w:eastAsia="en-US" w:bidi="en-US"/>
                </w:rPr>
                <w:t>basic business license application</w:t>
              </w:r>
            </w:hyperlink>
            <w:r w:rsidRPr="00F75465">
              <w:rPr>
                <w:lang w:val="en-US" w:eastAsia="en-US" w:bidi="en-US"/>
              </w:rPr>
              <w:t>,</w:t>
            </w:r>
          </w:p>
          <w:p w14:paraId="78BC4A32" w14:textId="77777777" w:rsidR="00AC530C" w:rsidRPr="00F75465" w:rsidRDefault="00AC530C" w:rsidP="00AC530C">
            <w:pPr>
              <w:numPr>
                <w:ilvl w:val="0"/>
                <w:numId w:val="5"/>
              </w:numPr>
              <w:bidi/>
              <w:spacing w:after="160" w:line="259" w:lineRule="auto"/>
              <w:rPr>
                <w:lang w:val="en-US"/>
              </w:rPr>
            </w:pPr>
            <w:r w:rsidRPr="00F75465">
              <w:rPr>
                <w:lang w:val="en-US" w:eastAsia="en-US" w:bidi="en-US"/>
              </w:rPr>
              <w:t>A vending site permit for a sidewalk vending location or any other required site permit,</w:t>
            </w:r>
          </w:p>
          <w:p w14:paraId="6A774EAE" w14:textId="77777777" w:rsidR="00AC530C" w:rsidRPr="00F75465" w:rsidRDefault="00AC530C" w:rsidP="00AC530C">
            <w:pPr>
              <w:numPr>
                <w:ilvl w:val="0"/>
                <w:numId w:val="5"/>
              </w:numPr>
              <w:bidi/>
              <w:spacing w:after="160" w:line="259" w:lineRule="auto"/>
              <w:rPr>
                <w:lang w:val="en-US"/>
              </w:rPr>
            </w:pPr>
            <w:r w:rsidRPr="00F75465">
              <w:rPr>
                <w:lang w:val="en-US" w:eastAsia="en-US" w:bidi="en-US"/>
              </w:rPr>
              <w:t>A copy of each unpaid citation received and the amount owed for each citation, and</w:t>
            </w:r>
          </w:p>
          <w:p w14:paraId="7E12666A" w14:textId="77777777" w:rsidR="00AC530C" w:rsidRPr="00F75465" w:rsidRDefault="00AC530C" w:rsidP="00AC530C">
            <w:pPr>
              <w:numPr>
                <w:ilvl w:val="0"/>
                <w:numId w:val="5"/>
              </w:numPr>
              <w:bidi/>
              <w:spacing w:after="160" w:line="259" w:lineRule="auto"/>
              <w:rPr>
                <w:lang w:val="en-US"/>
              </w:rPr>
            </w:pPr>
            <w:r w:rsidRPr="00F75465">
              <w:rPr>
                <w:lang w:val="en-US" w:eastAsia="en-US" w:bidi="en-US"/>
              </w:rPr>
              <w:t>Documentation from OTR verifying the amount of delinquent minimum sales tax, interest, and penalties owed to the OTR.</w:t>
            </w:r>
          </w:p>
          <w:p w14:paraId="16EC545C" w14:textId="586B8869" w:rsidR="00AC530C" w:rsidRPr="00F75465" w:rsidRDefault="00AC530C" w:rsidP="00AC530C">
            <w:pPr>
              <w:bidi/>
              <w:rPr>
                <w:b/>
                <w:bCs/>
                <w:lang w:val="en-US"/>
              </w:rPr>
            </w:pPr>
          </w:p>
        </w:tc>
        <w:tc>
          <w:tcPr>
            <w:tcW w:w="4414" w:type="dxa"/>
          </w:tcPr>
          <w:p w14:paraId="2477FAF7" w14:textId="77777777" w:rsidR="00AC530C" w:rsidRPr="00F75465" w:rsidRDefault="00F75465" w:rsidP="00AC530C">
            <w:pPr>
              <w:numPr>
                <w:ilvl w:val="0"/>
                <w:numId w:val="5"/>
              </w:numPr>
              <w:bidi/>
              <w:rPr>
                <w:lang w:val="en-US"/>
              </w:rPr>
            </w:pPr>
            <w:hyperlink r:id="rId6" w:history="1">
              <w:r w:rsidR="00AC530C" w:rsidRPr="00F75465">
                <w:rPr>
                  <w:rStyle w:val="Hipervnculo"/>
                  <w:rtl/>
                  <w:lang w:eastAsia="ar" w:bidi="ar-MA"/>
                </w:rPr>
                <w:t>طلب الحصول على رخصة العمل الأساسية</w:t>
              </w:r>
            </w:hyperlink>
            <w:r w:rsidR="00AC530C" w:rsidRPr="00F75465">
              <w:rPr>
                <w:rtl/>
                <w:lang w:eastAsia="ar" w:bidi="ar-MA"/>
              </w:rPr>
              <w:t>،</w:t>
            </w:r>
          </w:p>
          <w:p w14:paraId="29E3A89A" w14:textId="77777777" w:rsidR="00AC530C" w:rsidRPr="00F75465" w:rsidRDefault="00AC530C" w:rsidP="00AC530C">
            <w:pPr>
              <w:numPr>
                <w:ilvl w:val="0"/>
                <w:numId w:val="5"/>
              </w:numPr>
              <w:bidi/>
              <w:spacing w:after="160" w:line="259" w:lineRule="auto"/>
              <w:rPr>
                <w:lang w:val="en-US"/>
              </w:rPr>
            </w:pPr>
            <w:r w:rsidRPr="00F75465">
              <w:rPr>
                <w:rtl/>
                <w:lang w:eastAsia="ar" w:bidi="ar-MA"/>
              </w:rPr>
              <w:t>تصريح موقع البيع لموقع بيع على الرصيف أو أي تصريح موقع آخر مطلوب،</w:t>
            </w:r>
          </w:p>
          <w:p w14:paraId="1DC7F1BE" w14:textId="77777777" w:rsidR="00AC530C" w:rsidRPr="00F75465" w:rsidRDefault="00AC530C" w:rsidP="00AC530C">
            <w:pPr>
              <w:numPr>
                <w:ilvl w:val="0"/>
                <w:numId w:val="5"/>
              </w:numPr>
              <w:bidi/>
              <w:spacing w:after="160" w:line="259" w:lineRule="auto"/>
              <w:rPr>
                <w:lang w:val="en-US"/>
              </w:rPr>
            </w:pPr>
            <w:r w:rsidRPr="00F75465">
              <w:rPr>
                <w:rtl/>
                <w:lang w:eastAsia="ar" w:bidi="ar-MA"/>
              </w:rPr>
              <w:t>نسخة من كل مخالفة غير مدفوعة تم استلامها والمبلغ المستحق لكل مخالفة، و</w:t>
            </w:r>
          </w:p>
          <w:p w14:paraId="1A91B8AD" w14:textId="77777777" w:rsidR="00AC530C" w:rsidRPr="00F75465" w:rsidRDefault="00AC530C" w:rsidP="00AC530C">
            <w:pPr>
              <w:numPr>
                <w:ilvl w:val="0"/>
                <w:numId w:val="5"/>
              </w:numPr>
              <w:bidi/>
              <w:spacing w:after="160" w:line="259" w:lineRule="auto"/>
              <w:rPr>
                <w:lang w:val="en-US"/>
              </w:rPr>
            </w:pPr>
            <w:r w:rsidRPr="00F75465">
              <w:rPr>
                <w:rtl/>
                <w:lang w:eastAsia="ar" w:bidi="ar-MA"/>
              </w:rPr>
              <w:t xml:space="preserve">وثائق من </w:t>
            </w:r>
            <w:r w:rsidRPr="00F75465">
              <w:rPr>
                <w:lang w:val="en-US" w:eastAsia="ar" w:bidi="en-US"/>
              </w:rPr>
              <w:t>OTR</w:t>
            </w:r>
            <w:r w:rsidRPr="00F75465">
              <w:rPr>
                <w:rtl/>
                <w:lang w:eastAsia="ar" w:bidi="ar-MA"/>
              </w:rPr>
              <w:t xml:space="preserve"> للتحقق من مبلغ الحد الأدنى المتأخر لضريبة المبيعات والفوائد والغرامات المستحقة لـ </w:t>
            </w:r>
            <w:r w:rsidRPr="00F75465">
              <w:rPr>
                <w:lang w:val="en-US" w:eastAsia="ar" w:bidi="en-US"/>
              </w:rPr>
              <w:t>OTR</w:t>
            </w:r>
            <w:r w:rsidRPr="00F75465">
              <w:rPr>
                <w:rtl/>
                <w:lang w:eastAsia="ar" w:bidi="ar-MA"/>
              </w:rPr>
              <w:t>.</w:t>
            </w:r>
          </w:p>
          <w:p w14:paraId="036D1548" w14:textId="2F9DEBCB" w:rsidR="00AC530C" w:rsidRPr="00F75465" w:rsidRDefault="00AC530C" w:rsidP="00AC530C">
            <w:pPr>
              <w:bidi/>
              <w:rPr>
                <w:lang w:val="en-US"/>
              </w:rPr>
            </w:pPr>
          </w:p>
        </w:tc>
      </w:tr>
      <w:tr w:rsidR="00AC530C" w:rsidRPr="00F75465" w14:paraId="4B45D97C" w14:textId="77777777" w:rsidTr="003A76D3">
        <w:tc>
          <w:tcPr>
            <w:tcW w:w="4414" w:type="dxa"/>
          </w:tcPr>
          <w:p w14:paraId="62933B94" w14:textId="58FEEF22" w:rsidR="00AC530C" w:rsidRPr="00F75465" w:rsidRDefault="00AC530C" w:rsidP="00AC530C">
            <w:pPr>
              <w:bidi/>
              <w:rPr>
                <w:lang w:val="en-US"/>
              </w:rPr>
            </w:pPr>
            <w:r w:rsidRPr="00F75465">
              <w:rPr>
                <w:lang w:val="en-US" w:eastAsia="en-US" w:bidi="en-US"/>
              </w:rPr>
              <w:t>Please note that a street vendor does not need to submit a Clean Hands Certification if applying for the Amnesty Program. Once a complete application is submitted, DLCP will review to determine whether the applicant qualifies. If DLCP determines that an applicant qualifies for the Amnesty Program and minimum sales tax payments for the time period specified are owed, DLCP will notify OTR. OTR will then forgive the amount of unpaid minimum sales tax payments owed (subject to OTR’s rules and regulations). If you qualify for the Amnesty Program and you owe vending violation fines, DLCP will forgive the unpaid vending violation fines.</w:t>
            </w:r>
          </w:p>
        </w:tc>
        <w:tc>
          <w:tcPr>
            <w:tcW w:w="4414" w:type="dxa"/>
          </w:tcPr>
          <w:p w14:paraId="456192B4" w14:textId="63669698" w:rsidR="00AC530C" w:rsidRPr="00F75465" w:rsidRDefault="00AC530C" w:rsidP="00AC530C">
            <w:pPr>
              <w:bidi/>
              <w:rPr>
                <w:lang w:val="en-US"/>
              </w:rPr>
            </w:pPr>
            <w:r w:rsidRPr="00F75465">
              <w:rPr>
                <w:rtl/>
                <w:lang w:eastAsia="ar" w:bidi="ar-MA"/>
              </w:rPr>
              <w:t xml:space="preserve">يرجى ملاحظة أن البائع المتجول لا يحتاج إلى تقديم شهادة الأيدي النظيفة إذا تقدم بطلب لبرنامج العفو. بمجرد تقديم الطلب الكامل، ستقوم </w:t>
            </w:r>
            <w:r w:rsidRPr="00F75465">
              <w:rPr>
                <w:lang w:val="en-US" w:eastAsia="ar" w:bidi="en-US"/>
              </w:rPr>
              <w:t>DLCP</w:t>
            </w:r>
            <w:r w:rsidRPr="00F75465">
              <w:rPr>
                <w:rtl/>
                <w:lang w:eastAsia="ar" w:bidi="ar-MA"/>
              </w:rPr>
              <w:t xml:space="preserve"> بمراجعته لتحديد ما إذا كان مقدم الطلب مؤهلاً أم لا. إذا قررت </w:t>
            </w:r>
            <w:r w:rsidRPr="00F75465">
              <w:rPr>
                <w:lang w:val="en-US" w:eastAsia="ar" w:bidi="en-US"/>
              </w:rPr>
              <w:t>DLCP</w:t>
            </w:r>
            <w:r w:rsidRPr="00F75465">
              <w:rPr>
                <w:rtl/>
                <w:lang w:eastAsia="ar" w:bidi="ar-MA"/>
              </w:rPr>
              <w:t xml:space="preserve"> أن مقدم الطلب مؤهل لبرنامج العفو وأن الحد الأدنى من مدفوعات ضريبة المبيعات للفترة الزمنية المحددة مستحق، فسوف تقوم </w:t>
            </w:r>
            <w:r w:rsidRPr="00F75465">
              <w:rPr>
                <w:lang w:val="en-US" w:eastAsia="ar" w:bidi="en-US"/>
              </w:rPr>
              <w:t>DLCP</w:t>
            </w:r>
            <w:r w:rsidRPr="00F75465">
              <w:rPr>
                <w:rtl/>
                <w:lang w:eastAsia="ar" w:bidi="ar-MA"/>
              </w:rPr>
              <w:t xml:space="preserve"> بإخطار </w:t>
            </w:r>
            <w:r w:rsidRPr="00F75465">
              <w:rPr>
                <w:lang w:val="en-US" w:eastAsia="ar" w:bidi="en-US"/>
              </w:rPr>
              <w:t>OTR</w:t>
            </w:r>
            <w:r w:rsidRPr="00F75465">
              <w:rPr>
                <w:rtl/>
                <w:lang w:eastAsia="ar" w:bidi="ar-MA"/>
              </w:rPr>
              <w:t xml:space="preserve">. سوف يتنازل </w:t>
            </w:r>
            <w:r w:rsidRPr="00F75465">
              <w:rPr>
                <w:lang w:val="en-US" w:eastAsia="ar" w:bidi="en-US"/>
              </w:rPr>
              <w:t>OTR</w:t>
            </w:r>
            <w:r w:rsidRPr="00F75465">
              <w:rPr>
                <w:rtl/>
                <w:lang w:eastAsia="ar" w:bidi="ar-MA"/>
              </w:rPr>
              <w:t xml:space="preserve"> بعد ذلك عن مبلغ الحد الأدنى من مدفوعات ضريبة المبيعات المستحقة غير المدفوعة (تخضع لقواعد ولوائح </w:t>
            </w:r>
            <w:r w:rsidRPr="00F75465">
              <w:rPr>
                <w:lang w:val="en-US" w:eastAsia="ar" w:bidi="en-US"/>
              </w:rPr>
              <w:t>OTR</w:t>
            </w:r>
            <w:r w:rsidRPr="00F75465">
              <w:rPr>
                <w:rtl/>
                <w:lang w:eastAsia="ar" w:bidi="ar-MA"/>
              </w:rPr>
              <w:t xml:space="preserve">). إذا كنت مؤهلاً لبرنامج العفو </w:t>
            </w:r>
            <w:r w:rsidRPr="00F75465">
              <w:rPr>
                <w:rtl/>
                <w:lang w:eastAsia="ar" w:bidi="ar-MA"/>
              </w:rPr>
              <w:lastRenderedPageBreak/>
              <w:t xml:space="preserve">وكنت مدينًا بغرامات انتهاك البيع، فسوف تتنازل </w:t>
            </w:r>
            <w:r w:rsidRPr="00F75465">
              <w:rPr>
                <w:lang w:val="en-US" w:eastAsia="ar" w:bidi="en-US"/>
              </w:rPr>
              <w:t>DLCP</w:t>
            </w:r>
            <w:r w:rsidRPr="00F75465">
              <w:rPr>
                <w:rtl/>
                <w:lang w:eastAsia="ar" w:bidi="ar-MA"/>
              </w:rPr>
              <w:t xml:space="preserve"> عن غرامات انتهاك البيع غير المدفوعة.</w:t>
            </w:r>
          </w:p>
        </w:tc>
      </w:tr>
      <w:tr w:rsidR="00AC530C" w:rsidRPr="00F75465" w14:paraId="32FF0B49" w14:textId="77777777" w:rsidTr="003A76D3">
        <w:tc>
          <w:tcPr>
            <w:tcW w:w="4414" w:type="dxa"/>
          </w:tcPr>
          <w:p w14:paraId="0B3A5B31" w14:textId="77777777" w:rsidR="00AC530C" w:rsidRPr="00F75465" w:rsidRDefault="00F75465" w:rsidP="00AC530C">
            <w:pPr>
              <w:bidi/>
              <w:rPr>
                <w:b/>
                <w:bCs/>
              </w:rPr>
            </w:pPr>
            <w:hyperlink r:id="rId7" w:tooltip="Street Vending Amnesty Program FAQs" w:history="1">
              <w:r w:rsidR="00AC530C" w:rsidRPr="00F75465">
                <w:rPr>
                  <w:rStyle w:val="Hipervnculo"/>
                  <w:b/>
                  <w:bCs/>
                </w:rPr>
                <w:t>Street Vending Amnesty Program FAQs</w:t>
              </w:r>
            </w:hyperlink>
          </w:p>
          <w:p w14:paraId="31D6986B" w14:textId="50F1B46A" w:rsidR="00AC530C" w:rsidRPr="00F75465" w:rsidRDefault="00AC530C" w:rsidP="00AC530C">
            <w:pPr>
              <w:bidi/>
              <w:rPr>
                <w:lang w:val="en-US"/>
              </w:rPr>
            </w:pPr>
          </w:p>
        </w:tc>
        <w:tc>
          <w:tcPr>
            <w:tcW w:w="4414" w:type="dxa"/>
          </w:tcPr>
          <w:p w14:paraId="71AC2593" w14:textId="77777777" w:rsidR="00AC530C" w:rsidRPr="00F75465" w:rsidRDefault="00F75465" w:rsidP="00AC530C">
            <w:pPr>
              <w:bidi/>
              <w:rPr>
                <w:b/>
                <w:bCs/>
              </w:rPr>
            </w:pPr>
            <w:hyperlink r:id="rId8" w:tooltip="الأسئلة الشائعة حول برنامج العفو الخاص بالبيع في الشوارع" w:history="1">
              <w:r w:rsidR="00AC530C" w:rsidRPr="00F75465">
                <w:rPr>
                  <w:rStyle w:val="Hipervnculo"/>
                  <w:b/>
                  <w:bCs/>
                  <w:rtl/>
                  <w:lang w:eastAsia="ar" w:bidi="ar-MA"/>
                </w:rPr>
                <w:t>الأسئلة الشائعة حول برنامج العفو الخاص بالبيع في الشوارع</w:t>
              </w:r>
            </w:hyperlink>
          </w:p>
          <w:p w14:paraId="10A2074F" w14:textId="0068D64B" w:rsidR="00AC530C" w:rsidRPr="00F75465" w:rsidRDefault="00AC530C" w:rsidP="00AC530C">
            <w:pPr>
              <w:bidi/>
              <w:rPr>
                <w:lang w:val="en-US"/>
              </w:rPr>
            </w:pPr>
          </w:p>
        </w:tc>
      </w:tr>
    </w:tbl>
    <w:p w14:paraId="564DF10E" w14:textId="77777777" w:rsidR="0099702B" w:rsidRPr="00F75465" w:rsidRDefault="0099702B">
      <w:pPr>
        <w:bidi/>
        <w:rPr>
          <w:lang w:val="en-US"/>
        </w:rPr>
      </w:pPr>
    </w:p>
    <w:sectPr w:rsidR="0099702B" w:rsidRPr="00F754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0FF"/>
    <w:multiLevelType w:val="multilevel"/>
    <w:tmpl w:val="962E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CC3DB1"/>
    <w:multiLevelType w:val="multilevel"/>
    <w:tmpl w:val="C124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A203C2"/>
    <w:multiLevelType w:val="multilevel"/>
    <w:tmpl w:val="BFC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E742EE"/>
    <w:multiLevelType w:val="multilevel"/>
    <w:tmpl w:val="ACA0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B154FC"/>
    <w:multiLevelType w:val="multilevel"/>
    <w:tmpl w:val="FE56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1043229">
    <w:abstractNumId w:val="4"/>
  </w:num>
  <w:num w:numId="2" w16cid:durableId="279188538">
    <w:abstractNumId w:val="0"/>
  </w:num>
  <w:num w:numId="3" w16cid:durableId="1303579657">
    <w:abstractNumId w:val="2"/>
  </w:num>
  <w:num w:numId="4" w16cid:durableId="1075593227">
    <w:abstractNumId w:val="3"/>
  </w:num>
  <w:num w:numId="5" w16cid:durableId="981421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D3"/>
    <w:rsid w:val="003A76D3"/>
    <w:rsid w:val="0099702B"/>
    <w:rsid w:val="00A1664B"/>
    <w:rsid w:val="00AC530C"/>
    <w:rsid w:val="00DA09A4"/>
    <w:rsid w:val="00F75465"/>
  </w:rsids>
  <m:mathPr>
    <m:mathFont m:val="Cambria Math"/>
    <m:brkBin m:val="before"/>
    <m:brkBinSub m:val="--"/>
    <m:smallFrac m:val="0"/>
    <m:dispDef/>
    <m:lMargin m:val="0"/>
    <m:rMargin m:val="0"/>
    <m:defJc m:val="centerGroup"/>
    <m:wrapIndent m:val="1440"/>
    <m:intLim m:val="subSup"/>
    <m:naryLim m:val="undOvr"/>
  </m:mathPr>
  <w:themeFontLang w:val="es-CO"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99087"/>
  <w15:chartTrackingRefBased/>
  <w15:docId w15:val="{1A1ED178-3D65-487F-B5F2-619168E6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ar-M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A76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A76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unhideWhenUsed/>
    <w:qFormat/>
    <w:rsid w:val="003A76D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A76D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A76D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A76D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A76D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A76D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A76D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76D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A76D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rsid w:val="003A76D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A76D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A76D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A76D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A76D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A76D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A76D3"/>
    <w:rPr>
      <w:rFonts w:eastAsiaTheme="majorEastAsia" w:cstheme="majorBidi"/>
      <w:color w:val="272727" w:themeColor="text1" w:themeTint="D8"/>
    </w:rPr>
  </w:style>
  <w:style w:type="paragraph" w:styleId="Ttulo">
    <w:name w:val="Title"/>
    <w:basedOn w:val="Normal"/>
    <w:next w:val="Normal"/>
    <w:link w:val="TtuloCar"/>
    <w:uiPriority w:val="10"/>
    <w:qFormat/>
    <w:rsid w:val="003A76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A76D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A76D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A76D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A76D3"/>
    <w:pPr>
      <w:spacing w:before="160"/>
      <w:jc w:val="center"/>
    </w:pPr>
    <w:rPr>
      <w:i/>
      <w:iCs/>
      <w:color w:val="404040" w:themeColor="text1" w:themeTint="BF"/>
    </w:rPr>
  </w:style>
  <w:style w:type="character" w:customStyle="1" w:styleId="CitaCar">
    <w:name w:val="Cita Car"/>
    <w:basedOn w:val="Fuentedeprrafopredeter"/>
    <w:link w:val="Cita"/>
    <w:uiPriority w:val="29"/>
    <w:rsid w:val="003A76D3"/>
    <w:rPr>
      <w:i/>
      <w:iCs/>
      <w:color w:val="404040" w:themeColor="text1" w:themeTint="BF"/>
    </w:rPr>
  </w:style>
  <w:style w:type="paragraph" w:styleId="Prrafodelista">
    <w:name w:val="List Paragraph"/>
    <w:basedOn w:val="Normal"/>
    <w:uiPriority w:val="34"/>
    <w:qFormat/>
    <w:rsid w:val="003A76D3"/>
    <w:pPr>
      <w:ind w:left="720"/>
      <w:contextualSpacing/>
    </w:pPr>
  </w:style>
  <w:style w:type="character" w:styleId="nfasisintenso">
    <w:name w:val="Intense Emphasis"/>
    <w:basedOn w:val="Fuentedeprrafopredeter"/>
    <w:uiPriority w:val="21"/>
    <w:qFormat/>
    <w:rsid w:val="003A76D3"/>
    <w:rPr>
      <w:i/>
      <w:iCs/>
      <w:color w:val="0F4761" w:themeColor="accent1" w:themeShade="BF"/>
    </w:rPr>
  </w:style>
  <w:style w:type="paragraph" w:styleId="Citadestacada">
    <w:name w:val="Intense Quote"/>
    <w:basedOn w:val="Normal"/>
    <w:next w:val="Normal"/>
    <w:link w:val="CitadestacadaCar"/>
    <w:uiPriority w:val="30"/>
    <w:qFormat/>
    <w:rsid w:val="003A76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A76D3"/>
    <w:rPr>
      <w:i/>
      <w:iCs/>
      <w:color w:val="0F4761" w:themeColor="accent1" w:themeShade="BF"/>
    </w:rPr>
  </w:style>
  <w:style w:type="character" w:styleId="Referenciaintensa">
    <w:name w:val="Intense Reference"/>
    <w:basedOn w:val="Fuentedeprrafopredeter"/>
    <w:uiPriority w:val="32"/>
    <w:qFormat/>
    <w:rsid w:val="003A76D3"/>
    <w:rPr>
      <w:b/>
      <w:bCs/>
      <w:smallCaps/>
      <w:color w:val="0F4761" w:themeColor="accent1" w:themeShade="BF"/>
      <w:spacing w:val="5"/>
    </w:rPr>
  </w:style>
  <w:style w:type="table" w:styleId="Tablaconcuadrcula">
    <w:name w:val="Table Grid"/>
    <w:basedOn w:val="Tablanormal"/>
    <w:uiPriority w:val="39"/>
    <w:rsid w:val="003A7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A76D3"/>
    <w:rPr>
      <w:color w:val="467886" w:themeColor="hyperlink"/>
      <w:u w:val="single"/>
    </w:rPr>
  </w:style>
  <w:style w:type="character" w:styleId="Mencinsinresolver">
    <w:name w:val="Unresolved Mention"/>
    <w:basedOn w:val="Fuentedeprrafopredeter"/>
    <w:uiPriority w:val="99"/>
    <w:semiHidden/>
    <w:unhideWhenUsed/>
    <w:rsid w:val="003A7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8093">
      <w:bodyDiv w:val="1"/>
      <w:marLeft w:val="0"/>
      <w:marRight w:val="0"/>
      <w:marTop w:val="0"/>
      <w:marBottom w:val="0"/>
      <w:divBdr>
        <w:top w:val="none" w:sz="0" w:space="0" w:color="auto"/>
        <w:left w:val="none" w:sz="0" w:space="0" w:color="auto"/>
        <w:bottom w:val="none" w:sz="0" w:space="0" w:color="auto"/>
        <w:right w:val="none" w:sz="0" w:space="0" w:color="auto"/>
      </w:divBdr>
    </w:div>
    <w:div w:id="385495124">
      <w:bodyDiv w:val="1"/>
      <w:marLeft w:val="0"/>
      <w:marRight w:val="0"/>
      <w:marTop w:val="0"/>
      <w:marBottom w:val="0"/>
      <w:divBdr>
        <w:top w:val="none" w:sz="0" w:space="0" w:color="auto"/>
        <w:left w:val="none" w:sz="0" w:space="0" w:color="auto"/>
        <w:bottom w:val="none" w:sz="0" w:space="0" w:color="auto"/>
        <w:right w:val="none" w:sz="0" w:space="0" w:color="auto"/>
      </w:divBdr>
    </w:div>
    <w:div w:id="407577449">
      <w:bodyDiv w:val="1"/>
      <w:marLeft w:val="0"/>
      <w:marRight w:val="0"/>
      <w:marTop w:val="0"/>
      <w:marBottom w:val="0"/>
      <w:divBdr>
        <w:top w:val="none" w:sz="0" w:space="0" w:color="auto"/>
        <w:left w:val="none" w:sz="0" w:space="0" w:color="auto"/>
        <w:bottom w:val="none" w:sz="0" w:space="0" w:color="auto"/>
        <w:right w:val="none" w:sz="0" w:space="0" w:color="auto"/>
      </w:divBdr>
    </w:div>
    <w:div w:id="446319775">
      <w:bodyDiv w:val="1"/>
      <w:marLeft w:val="0"/>
      <w:marRight w:val="0"/>
      <w:marTop w:val="0"/>
      <w:marBottom w:val="0"/>
      <w:divBdr>
        <w:top w:val="none" w:sz="0" w:space="0" w:color="auto"/>
        <w:left w:val="none" w:sz="0" w:space="0" w:color="auto"/>
        <w:bottom w:val="none" w:sz="0" w:space="0" w:color="auto"/>
        <w:right w:val="none" w:sz="0" w:space="0" w:color="auto"/>
      </w:divBdr>
    </w:div>
    <w:div w:id="527839502">
      <w:bodyDiv w:val="1"/>
      <w:marLeft w:val="0"/>
      <w:marRight w:val="0"/>
      <w:marTop w:val="0"/>
      <w:marBottom w:val="0"/>
      <w:divBdr>
        <w:top w:val="none" w:sz="0" w:space="0" w:color="auto"/>
        <w:left w:val="none" w:sz="0" w:space="0" w:color="auto"/>
        <w:bottom w:val="none" w:sz="0" w:space="0" w:color="auto"/>
        <w:right w:val="none" w:sz="0" w:space="0" w:color="auto"/>
      </w:divBdr>
    </w:div>
    <w:div w:id="533421496">
      <w:bodyDiv w:val="1"/>
      <w:marLeft w:val="0"/>
      <w:marRight w:val="0"/>
      <w:marTop w:val="0"/>
      <w:marBottom w:val="0"/>
      <w:divBdr>
        <w:top w:val="none" w:sz="0" w:space="0" w:color="auto"/>
        <w:left w:val="none" w:sz="0" w:space="0" w:color="auto"/>
        <w:bottom w:val="none" w:sz="0" w:space="0" w:color="auto"/>
        <w:right w:val="none" w:sz="0" w:space="0" w:color="auto"/>
      </w:divBdr>
    </w:div>
    <w:div w:id="585654090">
      <w:bodyDiv w:val="1"/>
      <w:marLeft w:val="0"/>
      <w:marRight w:val="0"/>
      <w:marTop w:val="0"/>
      <w:marBottom w:val="0"/>
      <w:divBdr>
        <w:top w:val="none" w:sz="0" w:space="0" w:color="auto"/>
        <w:left w:val="none" w:sz="0" w:space="0" w:color="auto"/>
        <w:bottom w:val="none" w:sz="0" w:space="0" w:color="auto"/>
        <w:right w:val="none" w:sz="0" w:space="0" w:color="auto"/>
      </w:divBdr>
    </w:div>
    <w:div w:id="609317562">
      <w:bodyDiv w:val="1"/>
      <w:marLeft w:val="0"/>
      <w:marRight w:val="0"/>
      <w:marTop w:val="0"/>
      <w:marBottom w:val="0"/>
      <w:divBdr>
        <w:top w:val="none" w:sz="0" w:space="0" w:color="auto"/>
        <w:left w:val="none" w:sz="0" w:space="0" w:color="auto"/>
        <w:bottom w:val="none" w:sz="0" w:space="0" w:color="auto"/>
        <w:right w:val="none" w:sz="0" w:space="0" w:color="auto"/>
      </w:divBdr>
    </w:div>
    <w:div w:id="652611734">
      <w:bodyDiv w:val="1"/>
      <w:marLeft w:val="0"/>
      <w:marRight w:val="0"/>
      <w:marTop w:val="0"/>
      <w:marBottom w:val="0"/>
      <w:divBdr>
        <w:top w:val="none" w:sz="0" w:space="0" w:color="auto"/>
        <w:left w:val="none" w:sz="0" w:space="0" w:color="auto"/>
        <w:bottom w:val="none" w:sz="0" w:space="0" w:color="auto"/>
        <w:right w:val="none" w:sz="0" w:space="0" w:color="auto"/>
      </w:divBdr>
    </w:div>
    <w:div w:id="875393493">
      <w:bodyDiv w:val="1"/>
      <w:marLeft w:val="0"/>
      <w:marRight w:val="0"/>
      <w:marTop w:val="0"/>
      <w:marBottom w:val="0"/>
      <w:divBdr>
        <w:top w:val="none" w:sz="0" w:space="0" w:color="auto"/>
        <w:left w:val="none" w:sz="0" w:space="0" w:color="auto"/>
        <w:bottom w:val="none" w:sz="0" w:space="0" w:color="auto"/>
        <w:right w:val="none" w:sz="0" w:space="0" w:color="auto"/>
      </w:divBdr>
    </w:div>
    <w:div w:id="924803312">
      <w:bodyDiv w:val="1"/>
      <w:marLeft w:val="0"/>
      <w:marRight w:val="0"/>
      <w:marTop w:val="0"/>
      <w:marBottom w:val="0"/>
      <w:divBdr>
        <w:top w:val="none" w:sz="0" w:space="0" w:color="auto"/>
        <w:left w:val="none" w:sz="0" w:space="0" w:color="auto"/>
        <w:bottom w:val="none" w:sz="0" w:space="0" w:color="auto"/>
        <w:right w:val="none" w:sz="0" w:space="0" w:color="auto"/>
      </w:divBdr>
    </w:div>
    <w:div w:id="927422258">
      <w:bodyDiv w:val="1"/>
      <w:marLeft w:val="0"/>
      <w:marRight w:val="0"/>
      <w:marTop w:val="0"/>
      <w:marBottom w:val="0"/>
      <w:divBdr>
        <w:top w:val="none" w:sz="0" w:space="0" w:color="auto"/>
        <w:left w:val="none" w:sz="0" w:space="0" w:color="auto"/>
        <w:bottom w:val="none" w:sz="0" w:space="0" w:color="auto"/>
        <w:right w:val="none" w:sz="0" w:space="0" w:color="auto"/>
      </w:divBdr>
      <w:divsChild>
        <w:div w:id="1040015287">
          <w:marLeft w:val="0"/>
          <w:marRight w:val="0"/>
          <w:marTop w:val="0"/>
          <w:marBottom w:val="0"/>
          <w:divBdr>
            <w:top w:val="none" w:sz="0" w:space="0" w:color="auto"/>
            <w:left w:val="none" w:sz="0" w:space="0" w:color="auto"/>
            <w:bottom w:val="none" w:sz="0" w:space="0" w:color="auto"/>
            <w:right w:val="none" w:sz="0" w:space="0" w:color="auto"/>
          </w:divBdr>
        </w:div>
        <w:div w:id="337510808">
          <w:marLeft w:val="0"/>
          <w:marRight w:val="0"/>
          <w:marTop w:val="0"/>
          <w:marBottom w:val="0"/>
          <w:divBdr>
            <w:top w:val="none" w:sz="0" w:space="0" w:color="auto"/>
            <w:left w:val="none" w:sz="0" w:space="0" w:color="auto"/>
            <w:bottom w:val="none" w:sz="0" w:space="0" w:color="auto"/>
            <w:right w:val="none" w:sz="0" w:space="0" w:color="auto"/>
          </w:divBdr>
        </w:div>
      </w:divsChild>
    </w:div>
    <w:div w:id="944118368">
      <w:bodyDiv w:val="1"/>
      <w:marLeft w:val="0"/>
      <w:marRight w:val="0"/>
      <w:marTop w:val="0"/>
      <w:marBottom w:val="0"/>
      <w:divBdr>
        <w:top w:val="none" w:sz="0" w:space="0" w:color="auto"/>
        <w:left w:val="none" w:sz="0" w:space="0" w:color="auto"/>
        <w:bottom w:val="none" w:sz="0" w:space="0" w:color="auto"/>
        <w:right w:val="none" w:sz="0" w:space="0" w:color="auto"/>
      </w:divBdr>
    </w:div>
    <w:div w:id="1055661541">
      <w:bodyDiv w:val="1"/>
      <w:marLeft w:val="0"/>
      <w:marRight w:val="0"/>
      <w:marTop w:val="0"/>
      <w:marBottom w:val="0"/>
      <w:divBdr>
        <w:top w:val="none" w:sz="0" w:space="0" w:color="auto"/>
        <w:left w:val="none" w:sz="0" w:space="0" w:color="auto"/>
        <w:bottom w:val="none" w:sz="0" w:space="0" w:color="auto"/>
        <w:right w:val="none" w:sz="0" w:space="0" w:color="auto"/>
      </w:divBdr>
    </w:div>
    <w:div w:id="1057433191">
      <w:bodyDiv w:val="1"/>
      <w:marLeft w:val="0"/>
      <w:marRight w:val="0"/>
      <w:marTop w:val="0"/>
      <w:marBottom w:val="0"/>
      <w:divBdr>
        <w:top w:val="none" w:sz="0" w:space="0" w:color="auto"/>
        <w:left w:val="none" w:sz="0" w:space="0" w:color="auto"/>
        <w:bottom w:val="none" w:sz="0" w:space="0" w:color="auto"/>
        <w:right w:val="none" w:sz="0" w:space="0" w:color="auto"/>
      </w:divBdr>
    </w:div>
    <w:div w:id="1162967485">
      <w:bodyDiv w:val="1"/>
      <w:marLeft w:val="0"/>
      <w:marRight w:val="0"/>
      <w:marTop w:val="0"/>
      <w:marBottom w:val="0"/>
      <w:divBdr>
        <w:top w:val="none" w:sz="0" w:space="0" w:color="auto"/>
        <w:left w:val="none" w:sz="0" w:space="0" w:color="auto"/>
        <w:bottom w:val="none" w:sz="0" w:space="0" w:color="auto"/>
        <w:right w:val="none" w:sz="0" w:space="0" w:color="auto"/>
      </w:divBdr>
      <w:divsChild>
        <w:div w:id="1968583976">
          <w:marLeft w:val="0"/>
          <w:marRight w:val="0"/>
          <w:marTop w:val="0"/>
          <w:marBottom w:val="0"/>
          <w:divBdr>
            <w:top w:val="none" w:sz="0" w:space="0" w:color="auto"/>
            <w:left w:val="none" w:sz="0" w:space="0" w:color="auto"/>
            <w:bottom w:val="none" w:sz="0" w:space="0" w:color="auto"/>
            <w:right w:val="none" w:sz="0" w:space="0" w:color="auto"/>
          </w:divBdr>
        </w:div>
        <w:div w:id="1511673766">
          <w:marLeft w:val="0"/>
          <w:marRight w:val="0"/>
          <w:marTop w:val="0"/>
          <w:marBottom w:val="0"/>
          <w:divBdr>
            <w:top w:val="none" w:sz="0" w:space="0" w:color="auto"/>
            <w:left w:val="none" w:sz="0" w:space="0" w:color="auto"/>
            <w:bottom w:val="none" w:sz="0" w:space="0" w:color="auto"/>
            <w:right w:val="none" w:sz="0" w:space="0" w:color="auto"/>
          </w:divBdr>
        </w:div>
      </w:divsChild>
    </w:div>
    <w:div w:id="1180193579">
      <w:bodyDiv w:val="1"/>
      <w:marLeft w:val="0"/>
      <w:marRight w:val="0"/>
      <w:marTop w:val="0"/>
      <w:marBottom w:val="0"/>
      <w:divBdr>
        <w:top w:val="none" w:sz="0" w:space="0" w:color="auto"/>
        <w:left w:val="none" w:sz="0" w:space="0" w:color="auto"/>
        <w:bottom w:val="none" w:sz="0" w:space="0" w:color="auto"/>
        <w:right w:val="none" w:sz="0" w:space="0" w:color="auto"/>
      </w:divBdr>
    </w:div>
    <w:div w:id="1388067337">
      <w:bodyDiv w:val="1"/>
      <w:marLeft w:val="0"/>
      <w:marRight w:val="0"/>
      <w:marTop w:val="0"/>
      <w:marBottom w:val="0"/>
      <w:divBdr>
        <w:top w:val="none" w:sz="0" w:space="0" w:color="auto"/>
        <w:left w:val="none" w:sz="0" w:space="0" w:color="auto"/>
        <w:bottom w:val="none" w:sz="0" w:space="0" w:color="auto"/>
        <w:right w:val="none" w:sz="0" w:space="0" w:color="auto"/>
      </w:divBdr>
    </w:div>
    <w:div w:id="1506507759">
      <w:bodyDiv w:val="1"/>
      <w:marLeft w:val="0"/>
      <w:marRight w:val="0"/>
      <w:marTop w:val="0"/>
      <w:marBottom w:val="0"/>
      <w:divBdr>
        <w:top w:val="none" w:sz="0" w:space="0" w:color="auto"/>
        <w:left w:val="none" w:sz="0" w:space="0" w:color="auto"/>
        <w:bottom w:val="none" w:sz="0" w:space="0" w:color="auto"/>
        <w:right w:val="none" w:sz="0" w:space="0" w:color="auto"/>
      </w:divBdr>
    </w:div>
    <w:div w:id="1530414150">
      <w:bodyDiv w:val="1"/>
      <w:marLeft w:val="0"/>
      <w:marRight w:val="0"/>
      <w:marTop w:val="0"/>
      <w:marBottom w:val="0"/>
      <w:divBdr>
        <w:top w:val="none" w:sz="0" w:space="0" w:color="auto"/>
        <w:left w:val="none" w:sz="0" w:space="0" w:color="auto"/>
        <w:bottom w:val="none" w:sz="0" w:space="0" w:color="auto"/>
        <w:right w:val="none" w:sz="0" w:space="0" w:color="auto"/>
      </w:divBdr>
    </w:div>
    <w:div w:id="1694309304">
      <w:bodyDiv w:val="1"/>
      <w:marLeft w:val="0"/>
      <w:marRight w:val="0"/>
      <w:marTop w:val="0"/>
      <w:marBottom w:val="0"/>
      <w:divBdr>
        <w:top w:val="none" w:sz="0" w:space="0" w:color="auto"/>
        <w:left w:val="none" w:sz="0" w:space="0" w:color="auto"/>
        <w:bottom w:val="none" w:sz="0" w:space="0" w:color="auto"/>
        <w:right w:val="none" w:sz="0" w:space="0" w:color="auto"/>
      </w:divBdr>
    </w:div>
    <w:div w:id="1763792801">
      <w:bodyDiv w:val="1"/>
      <w:marLeft w:val="0"/>
      <w:marRight w:val="0"/>
      <w:marTop w:val="0"/>
      <w:marBottom w:val="0"/>
      <w:divBdr>
        <w:top w:val="none" w:sz="0" w:space="0" w:color="auto"/>
        <w:left w:val="none" w:sz="0" w:space="0" w:color="auto"/>
        <w:bottom w:val="none" w:sz="0" w:space="0" w:color="auto"/>
        <w:right w:val="none" w:sz="0" w:space="0" w:color="auto"/>
      </w:divBdr>
    </w:div>
    <w:div w:id="1833718321">
      <w:bodyDiv w:val="1"/>
      <w:marLeft w:val="0"/>
      <w:marRight w:val="0"/>
      <w:marTop w:val="0"/>
      <w:marBottom w:val="0"/>
      <w:divBdr>
        <w:top w:val="none" w:sz="0" w:space="0" w:color="auto"/>
        <w:left w:val="none" w:sz="0" w:space="0" w:color="auto"/>
        <w:bottom w:val="none" w:sz="0" w:space="0" w:color="auto"/>
        <w:right w:val="none" w:sz="0" w:space="0" w:color="auto"/>
      </w:divBdr>
    </w:div>
    <w:div w:id="2027169483">
      <w:bodyDiv w:val="1"/>
      <w:marLeft w:val="0"/>
      <w:marRight w:val="0"/>
      <w:marTop w:val="0"/>
      <w:marBottom w:val="0"/>
      <w:divBdr>
        <w:top w:val="none" w:sz="0" w:space="0" w:color="auto"/>
        <w:left w:val="none" w:sz="0" w:space="0" w:color="auto"/>
        <w:bottom w:val="none" w:sz="0" w:space="0" w:color="auto"/>
        <w:right w:val="none" w:sz="0" w:space="0" w:color="auto"/>
      </w:divBdr>
    </w:div>
    <w:div w:id="20670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cp.dc.gov/node/1683071" TargetMode="External"/><Relationship Id="rId3" Type="http://schemas.openxmlformats.org/officeDocument/2006/relationships/settings" Target="settings.xml"/><Relationship Id="rId7" Type="http://schemas.openxmlformats.org/officeDocument/2006/relationships/hyperlink" Target="https://dlcp.dc.gov/node/16830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ta.business.dc.gov/" TargetMode="External"/><Relationship Id="rId5" Type="http://schemas.openxmlformats.org/officeDocument/2006/relationships/hyperlink" Target="http://beta.business.dc.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751</Words>
  <Characters>3819</Characters>
  <Application>Microsoft Office Word</Application>
  <DocSecurity>0</DocSecurity>
  <Lines>127</Lines>
  <Paragraphs>38</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Hernandez</dc:creator>
  <cp:keywords/>
  <dc:description/>
  <cp:lastModifiedBy>ACSI Translations</cp:lastModifiedBy>
  <cp:revision>4</cp:revision>
  <dcterms:created xsi:type="dcterms:W3CDTF">2023-12-18T17:52:00Z</dcterms:created>
  <dcterms:modified xsi:type="dcterms:W3CDTF">2023-12-19T18:23:00Z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dfea28a6-d4a5-4913-bd67-4640324431ad</vt:lpwstr>
  </property>
</Properties>
</file>